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ATA/491/2014 vom 24. Juni 2014</w:t>
      </w:r>
    </w:p>
    <w:p>
      <w:r>
        <w:t>GE Cour de justice, 2014-06-24, FR</w:t>
      </w:r>
    </w:p>
    <w:p>
      <w:r>
        <w:rPr>
          <w:b/>
        </w:rPr>
        <w:t xml:space="preserve">Quelle: </w:t>
      </w:r>
      <w:r>
        <w:t>https://mcp.opencaselaw.ch/entscheid/ge_gerichte_ATA_491_2014</w:t>
      </w:r>
    </w:p>
    <w:p>
      <w:r>
        <w:t>FR: GE_GERICHTE ATA/491/2014 du 24 juin 2014</w:t>
      </w:r>
    </w:p>
    <w:p>
      <w:r>
        <w:t>IT: GE_GERICHTE ATA/491/2014 del 24 giugno 2014</w:t>
      </w:r>
    </w:p>
    <w:p>
      <w:pPr>
        <w:pStyle w:val="Heading2"/>
      </w:pPr>
      <w:r>
        <w:t>Erwägungen</w:t>
      </w:r>
    </w:p>
    <w:p>
      <w:r>
        <w:rPr>
          <w:b/>
        </w:rPr>
        <w:t>E. 26</w:t>
      </w:r>
    </w:p>
    <w:p>
      <w:r>
        <w:t>septembre 2010 - LOJ - E 2 05 ; art. 62 al. 1 let. a de la loi sur la procédure administrative du 12 septembre 1985 - LPA - E 5 10 ; art. 60 du règlement sur le régime intérieur de la prison et le statut des personnes incarcérées du</w:t>
      </w:r>
    </w:p>
    <w:p>
      <w:r>
        <w:rPr>
          <w:b/>
        </w:rPr>
        <w:t>E. 30</w:t>
      </w:r>
    </w:p>
    <w:p>
      <w:r>
        <w:t>septembre 1985 - RRIP - F 1 50.04). 2) a. À teneur de l'art. 60 al. 1 let. b LPA, ont qualité pour recourir toutes les personnes qui sont touchées directement par une décision et ont un intérêt digne de protection à ce qu'elle soit annulée ou modifiée.</w:t>
      </w:r>
    </w:p>
    <w:p>
      <w:r>
        <w:t>b. Selon la jurisprudence constante,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ATA/188/2011 du 22 mars 2011 ; ATA/146/2009 du 24 mars 2009).</w:t>
      </w:r>
    </w:p>
    <w:p>
      <w:r>
        <w:t>c. Un intérêt digne de protection suppose un intérêt actuel à obtenir l’annulation de la décision attaquée (ATF 135 I 79 consid. 1 p. 81 ; 128 II 34 consid. 1b p. 36 ; Arrêt du Tribunal fédéral 1C.133/2009 du 4 juin 2009 consid.3).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1C.76/2009 du 30 avril 2009 consid. 2 ; ATA/175/2007 du 17 avril 2007 consid. 2a ; ATA/915/2004 du 23 novembre 2004 consid. 2b) ou déclaré irrecevable (ATF 123 II 285 consid. 4 p. 286 et ss ; Arrêt du Tribunal fédéral</w:t>
      </w:r>
    </w:p>
    <w:p>
      <w:r>
        <w:t>- 4/6 - A/65/2014 1C.69/2007 du 11 juin 2007 consid. 2.3 ; ATA/192/2009 du 21 avril 2009 ; ATA/640/2005 du 27 septembre 2005).</w:t>
      </w:r>
    </w:p>
    <w:p>
      <w:r>
        <w:t>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p. 365 ; 128 II 34 précité ; Arrêt du Tribunal fédéral 6B.34/2009 du 20 avril 2009 consid. 3 ; ATA/188/2011 précité ; ATA/365/2009 du 28 juillet 2009). Cela étant, l’obligation d’entrer en matière sur un recours, dans certaines circonstances, nonobstant l’absence d’un intérêt actuel, ne saurait avoir pour effet de créer une voie de recours non prévue par le droit cantonal (ATF 135 I 79 précité ; 128 II 34 précité ; Arrêt du Tribunal fédéral 1C.133/2009 précité).</w:t>
      </w:r>
    </w:p>
    <w:p>
      <w:r>
        <w:t>e. En l'espèce, quand bien même le recourant a exécuté la mesure contestée, la situation pourrait se présenter à nouveau, dans la mesure où ce dernier se trouve encore en détention. Dès lors, la chambre administrative renoncera à l'exigence de l'intérêt actuel pour statuer (ATA/236/2014 du 8 avril 2014 consid. 2e ; ATA/188/2011 précité ; ATA/266/2009 du 26 mai 2009). 3)</w:t>
      </w:r>
    </w:p>
    <w:p>
      <w:r>
        <w:t>Le statut des personnes incarcérées à la prison de Champ-Dollon est régi par le RRIP (art. 1 al. 3 de la loi sur l'organisation et le personnel de la prison du 21 juin 1984 - LOPP - F 1 50).</w:t>
      </w:r>
    </w:p>
    <w:p>
      <w:r>
        <w:t>Un détenu doit respecter les dispositions du RRIP, les instructions du directeur de l'office pénitentiaire, les ordres du directeur et des fonctionnaires de la prison (art. 42 RRIP). En toute circonstance, les détenus doivent observer une attitude correcte à l’égard du personnel de la prison, des autres personnes incarcérées et des tiers (art. 44 RRIP). Il est notamment interdit aux détenus de faire du bruit et, d’une manière générale, de troubler l’ordre et la tranquillité de la prison (art. 45 let. a et h RRIP). 4)</w:t>
      </w:r>
    </w:p>
    <w:p>
      <w:r>
        <w:t>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w:t>
      </w:r>
    </w:p>
    <w:p>
      <w:r>
        <w:t>Le directeur est compétent pour prononcer les sanctions suivantes : a) suppression de visite pour quinze jours au plus ; b) suppression des promenades collectives ; c) suppression d’achat pour quinze jours au plus ; d) suppression de l’usage des moyens audiovisuels pour quinze jours au plus ; e) privation de travail ; f) placement en cellule forte pour cinq jours au plus (art. 47 al. 3 RRIP), étant précisé que ces sanctions peuvent se cumuler (art. 47 al. 4 RRIP).</w:t>
      </w:r>
    </w:p>
    <w:p>
      <w:r>
        <w:t>- 5/6 - A/65/2014 5)</w:t>
      </w:r>
    </w:p>
    <w:p>
      <w:r>
        <w:t>Le recourant invoque matériellement une constatation inexacte des faits. Sa contestation du rapport établi par le personnel pénitentiaire le lendemain des faits est toute générale, et il ne donne pas de version précise des faits, se contentant de dire qu'il n'est aucunement responsable de ce qui s'est passé. Il ne donne donc aucun élément concret permettant de remettre en cause l'existence d'une altercation entre codétenus de la cellule 260, pas plus que sa participation à ladite altercation.</w:t>
      </w:r>
    </w:p>
    <w:p>
      <w:r>
        <w:t>On doit ainsi admettre qu'il y avait au moment de l'intervention des gardiens une altercation en cours impliquant l'ensemble des occupants de la cellule, et donc un trouble par l'ensemble de ceux-ci, y compris le recourant, à l'ordre de l'établissement. 6)</w:t>
      </w:r>
    </w:p>
    <w:p>
      <w:r>
        <w:t>Le prononcé d'une sanction disciplinaire était ainsi fondé. Le choix de ladite sanction n'est pas en tant que tel contesté, et apparaît du reste proportionné à la faute commise. 7)</w:t>
      </w:r>
    </w:p>
    <w:p>
      <w:r>
        <w:t>Le recours sera ainsi rejeté.</w:t>
      </w:r>
    </w:p>
    <w:p>
      <w:r>
        <w:t>Vu la nature du litige, aucun émolument ne sera perçu (art. 87 al. 1 LPA ; art. 11 al. 1 du règlement sur les frais, émoluments et indemnités en procédure administrative du 30 juillet 1986 - RFPA - E 5 10.03). Vu son issue,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