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ATA/490/2011 vom 27. Juli 2011</w:t>
      </w:r>
    </w:p>
    <w:p>
      <w:r>
        <w:t>GE Cour de justice, 2011-07-27, FR</w:t>
      </w:r>
    </w:p>
    <w:p>
      <w:r>
        <w:rPr>
          <w:b/>
        </w:rPr>
        <w:t xml:space="preserve">Quelle: </w:t>
      </w:r>
      <w:r>
        <w:t>https://mcp.opencaselaw.ch/entscheid/ge_gerichte_ATA_490_2011</w:t>
      </w:r>
    </w:p>
    <w:p>
      <w:r>
        <w:t>FR: GE_GERICHTE ATA/490/2011 du 27 juillet 2011</w:t>
      </w:r>
    </w:p>
    <w:p>
      <w:r>
        <w:t>IT: GE_GERICHTE ATA/490/2011 del 27 luglio 2011</w:t>
      </w:r>
    </w:p>
    <w:p>
      <w:pPr>
        <w:pStyle w:val="Heading2"/>
      </w:pPr>
      <w:r>
        <w:t>Regeste</w:t>
      </w:r>
    </w:p>
    <w:p>
      <w:r>
        <w:t>Résumé: Une deuxième notification est en principe privée d'effet si la première a été faite régulièrement. Échec du recourant à rendre vraisemblable l'irrégularité de la première notification, laquelle est donc tenue pour parfaite à l'issue du délai de garde du pli recommandé. Recours tardif devant l'instance inférieure. Irrecevabilité confirmée par la chambre administrative.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recours déposé auprès de la commission a été jugé tardif, la notification étant intervenue à l’issue du délai de garde fixé au 28 janvier 2010 et le recours envoyé le 6 avril 2010 seulement.</w:t>
      </w:r>
    </w:p>
    <w:p>
      <w:r>
        <w:t>a. S’agissant d’un acte soumis à réception, telle une décision ou une communication de procédure, la notification est réputée 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 citées ; Arrêt du Tribunal fédéral 1C.549/2009 du 1er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w:t>
      </w:r>
    </w:p>
    <w:p>
      <w:r>
        <w:rPr>
          <w:b/>
        </w:rPr>
        <w:t>E. 4</w:t>
      </w:r>
    </w:p>
    <w:p>
      <w:r>
        <w:t>Dans un arrêt récent, le Tribunal fédéral a confirmé sa jurisprudence, à savoir que celle-ci établit la présomption réfragable que l’employé postal a correctement inséré l’avis de retrait dans la boîte à lettres ou la case postale du destinataire et la date de ce dépôt, telle qu’elle figure sur la liste des notifications,</w:t>
      </w:r>
    </w:p>
    <w:p>
      <w:r>
        <w:t>- 8/10 - A/1173/2010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(Arrêt du Tribunal fédéral du 14 février 2011 2C_146/2011 et les réf. citées).</w:t>
      </w:r>
    </w:p>
    <w:p>
      <w:r>
        <w:rPr>
          <w:b/>
        </w:rPr>
        <w:t>E. 5</w:t>
      </w:r>
    </w:p>
    <w:p>
      <w:r>
        <w:t>En l’espèce, il n’est pas contesté que l’envoi recommandé, adressé par l’OCAN à l’ancienne adresse du recourant, a été acheminé au bureau de poste de Vandoeuvres, responsable de la distribution du courrier à la nouvelle adresse. Au dossier, figure une copie de l’enveloppe de cet envoi portant les mentions : "Avisé pour être retiré au guichet, délai jusqu’au 28 janvier 2010" et "non réclamé", ainsi que la nouvelle adresse du recourant.</w:t>
      </w:r>
    </w:p>
    <w:p>
      <w:r>
        <w:t>Le recourant, en vue d’établir l’absence de dépôt dans sa boîte aux lettres, s’appuie sur le post-it trouvé dans le dossier de l’OCAN et sur le fait que celui-ci a envoyé à nouveau la décision par pli simple le 8 février 2010.</w:t>
      </w:r>
    </w:p>
    <w:p>
      <w:r>
        <w:t>Or, la jurisprudence et la doctrine retiennent qu’une deuxième notification est en principe privée d’effet si la première a été faite régulièrement (ATF 119 V 89 consid. 4b ; ATA/743/2003 du 7 octobre 2003 ; P. MOOR, Droit administratif, vol II, 3ème éd., p. 353 et les réf. citées).</w:t>
      </w:r>
    </w:p>
    <w:p>
      <w:r>
        <w:t>De plus, le deuxième envoi fait par l’OCAN mentionnait expressément que la notification avait déjà eu lieu à l’issue du délai de garde et le post-it ne mentionne qu’un pli simple. Ces éléments ne permettent pas de mettre en doute la présomption que le dépôt de l’avis de retrait a été effectué. En effet, les erreurs d’adressage commises par l’OCAN n’apparaissent pas avoir eu de conséquence puisqu’elles ont été corrigées par la poste.</w:t>
      </w:r>
    </w:p>
    <w:p>
      <w:r>
        <w:t>Il découle de ce qui précède que le recourant a échoué à rendre vraisemblable que la notification ait été irrégulière. En conséquence, en application des principes retenus par la jurisprudence, la notification doit être tenue pour parfaite et est intervenue à l’issue du délai de garde du pli recommandé, soit le 28 janvier 2010.</w:t>
      </w:r>
    </w:p>
    <w:p>
      <w:r>
        <w:rPr>
          <w:b/>
        </w:rPr>
        <w:t>E. 6</w:t>
      </w:r>
    </w:p>
    <w:p>
      <w:r>
        <w:t>En conséquence, c’est à juste titre que la commission a déclaré irrecevable le recours interjeté le 6 avril 2010 et le présent recours sera rejeté car infondé.</w:t>
      </w:r>
    </w:p>
    <w:p>
      <w:r>
        <w:t>Compte tenu de l’irrecevabilité du recours déposé auprès de la commission, il n’y a pas lieu d’examiner ici les griefs concernant l’examen au fond auquel a procédé la commission sans aucune nécessité.</w:t>
      </w:r>
    </w:p>
    <w:p>
      <w:r>
        <w:t>- 9/10 - A/1173/2010</w:t>
      </w:r>
    </w:p>
    <w:p>
      <w:r>
        <w:rPr>
          <w:b/>
        </w:rPr>
        <w:t>E. 7</w:t>
      </w:r>
    </w:p>
    <w:p>
      <w:r>
        <w:t>Vu l’issue du litige,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