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ATA/48/2012 vom 24. Januar 2012</w:t>
      </w:r>
    </w:p>
    <w:p>
      <w:r>
        <w:t>GE Cour de justice, 2012-01-24, FR</w:t>
      </w:r>
    </w:p>
    <w:p>
      <w:r>
        <w:rPr>
          <w:b/>
        </w:rPr>
        <w:t xml:space="preserve">Quelle: </w:t>
      </w:r>
      <w:r>
        <w:t>https://mcp.opencaselaw.ch/entscheid/ge_gerichte_ATA_48_2012</w:t>
      </w:r>
    </w:p>
    <w:p>
      <w:r>
        <w:t>FR: GE_GERICHTE ATA/48/2012 du 24 janvier 2012</w:t>
      </w:r>
    </w:p>
    <w:p>
      <w:r>
        <w:t>IT: GE_GERICHTE ATA/48/2012 del 24 gennaio 2012</w:t>
      </w:r>
    </w:p>
    <w:p>
      <w:pPr>
        <w:pStyle w:val="Heading2"/>
      </w:pPr>
      <w:r>
        <w:t>Erwägungen</w:t>
      </w:r>
    </w:p>
    <w:p>
      <w:r>
        <w:rPr>
          <w:b/>
        </w:rPr>
        <w:t>E. 1</w:t>
      </w:r>
    </w:p>
    <w:p>
      <w:r>
        <w:t>La chambre administrative est l’autorité supérieure ordinaire de recours en matière administrative. Elle peut être saisie des décisions des autorités et juridictions administratives, au sens des art. 4, 5, 6 et 57 LPA, sauf exceptions prévues par la loi (art. 132 al. 1 de la loi sur l’organisation judiciaire du 26 septembre 2010 - LOJ - E 2 05), ou lorsque le droit fédéral ou cantonal prévoit une autre autorité de recours (art. 132 al. 8 LOJ).</w:t>
      </w:r>
    </w:p>
    <w:p>
      <w:r>
        <w:rPr>
          <w:b/>
        </w:rPr>
        <w:t>E. 2</w:t>
      </w:r>
    </w:p>
    <w:p>
      <w:r>
        <w:t>La juridiction de recours examine d’office sa compétence (art. 11 al. 2 LPA). Si le recours est adressé à une juridiction administrative incompétente, il est transmis d’office à la juridiction administrative compétente (art. 64 al. 2 LPA).</w:t>
      </w:r>
    </w:p>
    <w:p>
      <w:r>
        <w:rPr>
          <w:b/>
        </w:rPr>
        <w:t>E. 3</w:t>
      </w:r>
    </w:p>
    <w:p>
      <w:r>
        <w:t>L’art. 12 al. 1 LaLEtr oblige les autorités et les juridictions intervenant dans les procédures prévues aux art. 9 et 10 LaLEtr de nommer d’office un avocat pour assister un étranger qui n’en dispose pas. Pour la rémunération de l’avocat, l’art. 12 al. 3 LaLEtr renvoie à l’art. 10 LPA concernant la possibilité d’obtenir l’AJ si l’étranger ne peut rémunérer son défenseur.</w:t>
      </w:r>
    </w:p>
    <w:p>
      <w:r>
        <w:t>Selon cette dernière disposition, c’est le président du Tribunal civil qui est compétent pour octroyer ou refuser l’assistance juridique et un recours peut être interjeté auprès du président de la Cour de justice contre ses décisions (art. 10 al. 2 et 3 LPA). Pour le surplus, les dispositions réglementaires édictées par le Conseil d’Etat, en matière d’assistance juridique s’appliquent (art. 10 al. 4 LPA), soit celles du RAJ.</w:t>
      </w:r>
    </w:p>
    <w:p>
      <w:r>
        <w:rPr>
          <w:b/>
        </w:rPr>
        <w:t>E. 4</w:t>
      </w:r>
    </w:p>
    <w:p>
      <w:r>
        <w:t>En matière de taxation des conseils juridiques en matière d’AJ civile et administrative, le RAJ prévoit que la décision de taxation est rendue par le greffe (art. 18 al. 1 RAJ). En cas de contestation, elle peut, à teneur de l’art. 18 al. 2 RAJ, faire l’objet d’une « demande de reconsidération » auprès du président du Tribunal civil, président compétent selon l’art. 1 al. 1 RAJ, dans les dix jours dès sa notification, soit d’une procédure de réclamation ou d’opposition au sens de l’art. 50 LPA.</w:t>
      </w:r>
    </w:p>
    <w:p>
      <w:r>
        <w:rPr>
          <w:b/>
        </w:rPr>
        <w:t>E. 5</w:t>
      </w:r>
    </w:p>
    <w:p>
      <w:r>
        <w:t>En l’espèce, la chambre administrative constate que le recours de l’avocat n’a pas été soumis préalablement au président du Tribunal civil. C’est donc à tort que le TAPI lui a transmis le « recours » du 25 novembre 2011. Le contentieux est du ressort du président du Tribunal civil, qui doit statuer sur cette réclamation en tant qu’autorité administrative au sens de l’art. 5 let. g LPA. La cause lui sera transmise en application de l’art. 64 al. 2 LPA.</w:t>
      </w:r>
    </w:p>
    <w:p>
      <w:r>
        <w:t>- 4/5 - A/3984/2011</w:t>
      </w:r>
    </w:p>
    <w:p>
      <w:r>
        <w:rPr>
          <w:b/>
        </w:rPr>
        <w:t>E. 6</w:t>
      </w:r>
    </w:p>
    <w:p>
      <w:r>
        <w:t>Aucun émolument ne sera perçu, ni aucune indemnité de procédure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