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ATA/488/2024 vom 16. April 2024</w:t>
      </w:r>
    </w:p>
    <w:p>
      <w:r>
        <w:t>GE Cour de justice, 2024-04-16, FR</w:t>
      </w:r>
    </w:p>
    <w:p>
      <w:r>
        <w:rPr>
          <w:b/>
        </w:rPr>
        <w:t xml:space="preserve">Quelle: </w:t>
      </w:r>
      <w:r>
        <w:t>https://mcp.opencaselaw.ch/entscheid/ge_gerichte_ATA_488_2024</w:t>
      </w:r>
    </w:p>
    <w:p>
      <w:r>
        <w:t>FR: GE_GERICHTE ATA/488/2024 du 16 avril 2024</w:t>
      </w:r>
    </w:p>
    <w:p>
      <w:r>
        <w:t>IT: GE_GERICHTE ATA/488/2024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concluent préalablement à leur audition et à celle, par visioconférence, d’C______.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w:t>
      </w:r>
    </w:p>
    <w:p>
      <w:r>
        <w:t>- 8/16 - A/1120/2023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(ATF 140 I 68 consid. 9.6 ; arrêt du Tribunal fédéral 1C_83/2019 du 29 janvier 2020 consid. 3.2 ;).</w:t>
      </w:r>
    </w:p>
    <w:p>
      <w:r>
        <w:rPr>
          <w:b/>
        </w:rPr>
        <w:t>E. 2.2</w:t>
      </w:r>
    </w:p>
    <w:p>
      <w:r>
        <w:t>En l’espèce, les recourants ont eu l’occasion de s’exprimer, de faire valoir tous leurs arguments et de produire toute pièce utile devant l’OCPM, le TAPI et la chambre de céans. Ils n’exposent pas quels éléments utiles à la solution du litige et qu’ils n’auraient pu produire par écrit leur audition et celle d’C______ seraient susceptibles d’apporter. Ils affirment qu’ils pourraient ainsi exposer la situation réelle de la famille d’C______. Cela leur est toutefois possible par écrit. Il ne sera pas donné suite à la demande d’actes d’instruction.</w:t>
      </w:r>
    </w:p>
    <w:p>
      <w:r>
        <w:rPr>
          <w:b/>
        </w:rPr>
        <w:t>E. 3</w:t>
      </w:r>
    </w:p>
    <w:p>
      <w:r>
        <w:t>Est litigieux le refus de l’OCPM de délivrer une autorisation de séjour à C______.</w:t>
      </w:r>
    </w:p>
    <w:p>
      <w:r>
        <w:rPr>
          <w:b/>
        </w:rPr>
        <w:t>E. 3.1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La LEI et l’OASA règlent l'entrée, le séjour et la sortie des étrangers dont le statut juridique n'est pas réglé par d'autres dispositions du droit fédéral ou par des traités internationaux conclus par la Suisse (art. 1 et 2 al. 1 LEI), ce qui est le cas pour les ressortissantes et ressortissants du D______.</w:t>
      </w:r>
    </w:p>
    <w:p>
      <w:r>
        <w:rPr>
          <w:b/>
        </w:rPr>
        <w:t>E. 3.2</w:t>
      </w:r>
    </w:p>
    <w:p>
      <w:r>
        <w:t>L'art. 30 al. 1 let. c LEI donne à l'autorité la possibilité de déroger aux conditions d'admission prévues par les art. 18 à 29 de cette loi afin de régler le séjour des enfants placés. L'al. 2 de cette disposition délègue au Conseil fédéral la compétence de fixer des conditions générales ainsi que d'arrêter la procédure à suivre pour octroyer une dérogation.</w:t>
      </w:r>
    </w:p>
    <w:p>
      <w:r>
        <w:rPr>
          <w:b/>
        </w:rPr>
        <w:t>E. 3.3</w:t>
      </w:r>
    </w:p>
    <w:p>
      <w:r>
        <w:t>Sous la note marginale « enfants placés », l'art. 33 OASA prévoit que des autorisations de séjour peuvent être accordées à des enfants placés si les conditions auxquelles le Code civil suisse du 10 décembre 1907 (CC - RS 210) soumet l'accueil de ces enfants sont remplies.</w:t>
      </w:r>
    </w:p>
    <w:p>
      <w:r>
        <w:rPr>
          <w:b/>
        </w:rPr>
        <w:t>E. 3.4</w:t>
      </w:r>
    </w:p>
    <w:p>
      <w:r>
        <w:t>Ces dispositions ne confèrent pas de droit à la délivrance d’une autorisation de séjour, contrairement à l’art. 48 LEI, qui définit les conditions spécifiques auxquelles les enfants placés en vue d’adoption peuvent se prévaloir d’un droit de séjour en Suisse (arrêt du Tribunal administratif fédéral [ci-après : TAF] F-58/2022 du 22 mai 2023 consid. 5.1 et les références citées).</w:t>
      </w:r>
    </w:p>
    <w:p>
      <w:r>
        <w:rPr>
          <w:b/>
        </w:rPr>
        <w:t>E. 3.5</w:t>
      </w:r>
    </w:p>
    <w:p>
      <w:r>
        <w:t>Selon les directives et commentaires du SEM, Domaine des étrangers, du 25 octobre 2013 (ci-après : directives LEI - https://www.ejpd.admin.ch/sem/fr/</w:t>
      </w:r>
    </w:p>
    <w:p>
      <w:r>
        <w:t>- 9/16 - A/1120/2023 home/publiservice/weisungen-kreisschreiben/ auslaenderbereich.html), les enfants peuvent être placés chez des parents nourriciers même si ces derniers n'ont pas l'intention de les adopter. Dans ces situations, les art. 6 et 6b de l'ordonnance sur le placement d'enfants du 19 octobre 1977 (OPE - RS 211.222.338) prévoient qu'un tel placement ne peut être réalisé que s'il existe un motif important. Les parents nourriciers doivent produire une déclaration du représentant légal compétent selon le droit du pays d'origine de l'enfant indiquant le motif du placement en Suisse, et ils doivent s'engager par écrit à pourvoir à l'entretien de l'enfant comme si celui-ci était le leur (directives LEI, n. 5.4.2). Les autorités cantonales migratoires veillent à ce que les dispositions sur l’admission d’enfants placés (art. 33 OASA) ne soient pas éludées par l'octroi d'autorisations de séjour à des élèves (art. 23 et 24 OASA). Le but visé par l’art. 33 OASA est d’offrir à l'enfant un environnement familial et social adéquat. La possibilité de poursuivre la scolarité en Suisse est une conséquence du placement admis. Dans le contexte de la protection internationale des enfants, il est essentiel que le placement serve uniquement et seulement l’intérêt supérieur de l’enfant et qu’il n’y ait pas d’autres con sidérations, notamment migratoires, au premier plan (directives LEI, n. 5.4.2.2).</w:t>
      </w:r>
    </w:p>
    <w:p>
      <w:r>
        <w:rPr>
          <w:b/>
        </w:rPr>
        <w:t>E. 3.6</w:t>
      </w:r>
    </w:p>
    <w:p>
      <w:r>
        <w:t>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l'État de provenance de l'enfant ne saurait se soustraire aux devoirs qui lui incombent à l'égard de ses propres citoyens, notamment en matière d'assistance et d'éducation (arrêt du TAF C-1403/2011 du 31 août 2011 consid. 5.4 et le références citées). Il convient de ne pas perdre de vue que l'État de provenance de l'enfant ne saurait se soustraire aux devoirs qui lui incombent à l'égard de ses propres citoyens, notamment en matière d'assistance et d'éducation (ATA/154/2018 du 20 février 2018 consid. 7).</w:t>
      </w:r>
    </w:p>
    <w:p>
      <w:r>
        <w:rPr>
          <w:b/>
        </w:rPr>
        <w:t>E. 3.7</w:t>
      </w:r>
    </w:p>
    <w:p>
      <w:r>
        <w:t>La chambre de céans a jugé dans le cas d’une fillette âgée de 7 ans et originaire de la République démocratique du Congo, orpheline de père et de mère, que compte tenu de son très jeune âge et de ses conditions de vie dans un pays notoirement connu pour son taux de pauvreté particulièrement élevé et ses conflits guerriers, l'intervention de sa tante constituait le seul soutien, susceptible d'assurer son développement, voire sa survie, et qu’en ces circonstances, un placement auprès de cette dernière en Suisse apparaissait bien être la seule solution pour sauvegarder ses intérêts (ATA/154/2018 précité consid. 8).</w:t>
      </w:r>
    </w:p>
    <w:p>
      <w:r>
        <w:t>- 10/16 - A/1120/2023</w:t>
      </w:r>
    </w:p>
    <w:p>
      <w:r>
        <w:rPr>
          <w:b/>
        </w:rPr>
        <w:t>E. 3.8</w:t>
      </w:r>
    </w:p>
    <w:p>
      <w:r>
        <w:t>L’art. 30 al. 1 let. b LEI permet de déroger aux conditions d’admission en Suisse, telles que prévues aux art. 18 à 29 LEI, notamment aux fins de tenir compte des cas individuels d’une extrême gravité ou d’intérêts publics majeurs.</w:t>
      </w:r>
    </w:p>
    <w:p>
      <w:r>
        <w:rPr>
          <w:b/>
        </w:rPr>
        <w:t>E. 3.9</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3.10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3.11</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rPr>
          <w:b/>
        </w:rPr>
        <w:t>E. 3.12</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w:t>
      </w:r>
    </w:p>
    <w:p>
      <w:r>
        <w:t>- 11/16 - A/1120/2023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consid.3.9).</w:t>
      </w:r>
    </w:p>
    <w:p>
      <w:r>
        <w:rPr>
          <w:b/>
        </w:rPr>
        <w:t>E. 3.13</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w:t>
      </w:r>
    </w:p>
    <w:p>
      <w:r>
        <w:t>En l’espèce, les recourants se plaignent de ce que le TAPI n’a pas mentionné le préavis positif du SASLP dans son jugement. Or, le TAPI a mentionné l’autorisation pour l’accueil avec hébergement familial du 5 mars 2021, laquelle mentionne l’évaluation. Cette mention est suffisante, l’autorisation constituant une condition préalable à la délivrance d’un permis de séjour et l’évaluation étant sans portée sur l’issue du litige ainsi qu’il sera vu plus loin. Les recourants reprochent au TAPI de ne pas avoir admis qu’ils avaient établi qu’il n’y avait plus de possibilité pour C______ de suivre au D______ une scolarité normale. Le TAPI a pris en compte le fait que la maladie d’C______ avait été diagnostiquée et traitée et que sa vision était corrigée par le port de lunettes. Il n’a pas minimisé les problèmes qu’elle rencontrait, mais estimé qu’il n’était pas démontré qu’elle n’était pas en mesure de vivre plus ou moins normalement. Ce raisonnement n’appelle pas de critique. Les recourants ont certes produit un</w:t>
      </w:r>
    </w:p>
    <w:p>
      <w:r>
        <w:t>- 12/16 - A/1120/2023 document indiquant qu’C______ ne pouvait être admise, faute de place, dans un institut spécialisé pour enfants aveugles. Cela étant, elle n’est pas aveugle mais borgne et sa vision résiduelle a été corrigée. Les recourants allèguent pour le surplus que les rendez-vous médicaux entraîneraient des absences à l’école. Cette conséquence est toutefois universelle, et les recourants n’établissent pas que le suivi médical serait si intense ou si chronophage qu’il compromettrait la fréquentation scolaire. Les recourants reprochent au TAPI de ne pas avoir tenu compte de la fermeture pour travaux de l’hôpital G______. Ce fait, s’il complique sans doute la prise en charge d’C______, ne la compromet cependant pas puisqu’il ressort du dossier qu’elle se poursuit ailleurs, de sorte qu’il n’avait pas à être pris en compte par le TAPI. Les recourants reprochent au TAPI de ne pas avoir pris en compte les céphalées et les douleurs abdominales d’C______ dont l’origine n’a pas été établie. Le certificat établi le 2 août 2022 par le Prof. I______, spécialiste en dermatologie, mentionne en effet des céphalées et vertiges persistant depuis trois ans, mais relève également un bilan normal. Il ne précise pas quelles « investigations complémentaires, non disponibles à H______, seraient souhaitables ». Quoi qu’il en soit, des investigations médicales indispensables mais non disponibles dans un pays peuvent le cas échéant motiver l’octroi d’un visa pour un autre pays, mais ne sont pas pertinentes pour l’octroi en Suisse d’une autorisation de séjour, de sorte que le TAPI n’avait pas à en tenir compte. Les recourants se disent choqués que le TAPI ait retenu qu’C______ n’avait pas été abandonnée. Ce faisant, la première juge n’a toutefois pas suggéré que cela aurait été allégué ou suspecté, mais simplement exclu un cas d’octroi d’autorisation prévu par la pratique et la jurisprudence, au même titre que le statut d’orpheline de père et de mère. Les recourants exposent qu’il serait choquant et arbitraire de retenir que les parents d’C______ sont en bonne santé, puisque son père était très malade. C’est pour la première fois devant la chambre de céans qu’ils ont allégué, sous l’intitulé « faits nouveaux », que le père d’C______ avait reçu le 1er mars 2023 un diagnostic de calculs et d’un kyste rénaux. Ces faits, alors connus, n’avaient pas été évoqués devant le TAPI, les dernières écritures des recourants devant cette juridiction datant du 11 septembre 2023. Quoi qu’il en soit, et ainsi que l’a relevé l’OCPM, le père d’C______ a été diagnostiqué et traité, et il n’est pas insolite qu’il doive subir une convalescence. Le résumé du dossier, non daté, produit par les recourants le 17 janvier 2024 (sous pièce 28), évoque un rapport post-opératoire et indique qu’une sonde a été posée dans le cadre du traitement par pyélolithémie et doit être retirée après deux mois. Il ne peut en être inféré que le père d’C______ devrait continuer de porter une sonde et serait durablement empêché de travailler. Quand bien même une telle hypothèse devait être avérée, une diminution des ressources de la famille ne suffirait pas à réaliser les conditions très restrictives à l’octroi d’une</w:t>
      </w:r>
    </w:p>
    <w:p>
      <w:r>
        <w:t>- 13/16 - A/1120/2023 autorisation de séjour pour un enfant en vue de placement. Il est enfin observé que les recourants indiquent contribuer à l’entretien de la famille d’C______ au D______. Les recourants reprochent en définitive à l’OCPM et au TAPI d’avoir conclu qu’ils n’avaient pas démontré que le placement d’C______ en Suisse constituerait l’unique solution pour préserver ses intérêts et de n’avoir pas accordé à l’autorisation du SASLP une portée suffisante. À ce propos, il y a lieu d’observer que le SASLP évalue principalement l’aptitude des requérants à accueillir l’enfant. Le rapport d’évaluation sociale du milieu d’accueil du 2 mars 2021 se fonde sur des entretiens avec les époux B______ et une visite à leur domicile et il consacre la part belle aux caractéristiques de la famille d’accueil et à la dynamique familiale, à l’organisation familiale et aux conditions de logement. Les relations entre le milieu d’accueil et les parents du mineur, les motifs pour l’accueil du mineur et l’histoire de celui-ci sont établies sur la base des déclarations de la famille d’accueil, étant observé qu’au chapitre de l’histoire du mineur, il est noté que « Depuis ses 2 ans, C______ souffre d’une tumeur à l’œil qui affecte partiellement sa vue. Sa tumeur ne l’empêche pas de lire et d’avoir une scolarité normale dans le système francophone. Elle a été opérée au D______ mais continue de tomber malade. Elle aurait besoin de soins que ses parents biologiques ne peuvent lui fournir ». Cela étant, l’OCPM n’est pas tenu de délivrer l’autorisation de séjour à chaque fois que le SASLP délivre l’autorisation d’accueil, mais doit examiner si les conditions du droit public des étrangers sont remplies, ce qu’il a fait en l’espèce pour parvenir à une conclusion négative n’appelant, comme vu plus haut, aucune critique. Les recourants reprochent enfin au TAPI d’avoir exclu l’existence d’un cas individuel d’extrême rigueur. Ils affirment que le cas d’C______ entrerait dans cette définition, mais n’exposent pas en quoi. Or, le TAPI a retenu à bon droit qu’C______ avait été diagnostiquée et traitée, que sa vue avait été corrigée, que son existence et sa scolarité étaient certes affectées par les conséquences de sa maladie et de l’opération, mais que sa maladie ne revêtait pas la gravité permettant d’envisager la délivrance d’une autorisation. Il a également retenu l’absence de liens avec la Suisse. Ce raisonnement ne souffre aucune critique. C’est ainsi conformément à la loi et sans excès ni abus de son pouvoir d’appréciation que l’OCPM a retenu que les conditions à la délivrance d’une autorisation de séjour en vue de placement ou pour motifs individuels d’extrême gravité n’étaient pas réunies et a refusé de soumettre la demande formée par les recourants au SEM. Il sera encore observé que l’OCPM a laissé ouverte la possibilité de solliciter un visa en vue de traitements médicaux en Suisse. C’est le lieu de noter que les recourants ne peuvent être suivis lorsqu’ils soutiennent que des soins en Suisse ne pourraient aller sans une scolarisation. La perspective d’amélioration de l’état de</w:t>
      </w:r>
    </w:p>
    <w:p>
      <w:r>
        <w:t>- 14/16 - A/1120/2023 santé l’emporte sur la continuité du cursus et la scolarité peut quoi qu’il en soit être reprise dès le retour au pays. Entièrement mal fondé, le recours sera rejeté.</w:t>
      </w:r>
    </w:p>
    <w:p>
      <w:r>
        <w:rPr>
          <w:b/>
        </w:rPr>
        <w:t>E. 5</w:t>
      </w:r>
    </w:p>
    <w:p>
      <w:r>
        <w:t>Vu l’issue du litige, un émolument de CHF 400.- sera mis à la charge des recourants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