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ATA/487/2023 vom 9. Mai 2023</w:t>
      </w:r>
    </w:p>
    <w:p>
      <w:r>
        <w:t>GE Cour de justice, 2023-05-09, FR</w:t>
      </w:r>
    </w:p>
    <w:p>
      <w:r>
        <w:rPr>
          <w:b/>
        </w:rPr>
        <w:t xml:space="preserve">Quelle: </w:t>
      </w:r>
      <w:r>
        <w:t>https://mcp.opencaselaw.ch/entscheid/ge_gerichte_ATA_487_2023</w:t>
      </w:r>
    </w:p>
    <w:p>
      <w:r>
        <w:t>FR: GE_GERICHTE ATA/487/2023 du 9 mai 2023</w:t>
      </w:r>
    </w:p>
    <w:p>
      <w:r>
        <w:t>IT: GE_GERICHTE ATA/487/2023 del 9 maggio 2023</w:t>
      </w:r>
    </w:p>
    <w:p>
      <w:pPr>
        <w:pStyle w:val="Heading2"/>
      </w:pPr>
      <w:r>
        <w:t>Erwägungen</w:t>
      </w:r>
    </w:p>
    <w:p>
      <w:r>
        <w:rPr>
          <w:b/>
        </w:rPr>
        <w:t>E. 12</w:t>
      </w:r>
    </w:p>
    <w:p>
      <w:r>
        <w:t>septembre 1985 - LPA - E 5 10) celle qui est prise pendant le cours de la procédure et qui ne représente qu'une étape vers la décision finale (ATA/990/2022 du 4 octobre 2022 consid. 2b ; ATA/1124/2020 du 10 novembre 2020 consid 2b).</w:t>
      </w:r>
    </w:p>
    <w:p>
      <w:r>
        <w:t>b. Le prononcé par lequel une autorité renvoie la cause à l'autorité inférieure pour qu'elle rende une nouvelle décision constitue en principe une décision incidente (arrêt du Tribunal fédéral 2C_233/2019 du 29 août 2019 consid. 1.2.1 et les références citées). Il s'agit en effet d'une simple étape avant la décision finale qui doit mettre un terme à la procédure. Une décision de renvoi revêt en revanche le caractère d'une décision finale lorsque le renvoi a lieu uniquement en vue de son exécution par l'autorité inférieure sans que celle-ci ne dispose encore d'une liberté d'appréciation notable (ATF 135 V 141 consid. 1 ; arrêt du Tribunal fédéral 2C_194/2018 du 1er octobre 2018 consid. 1.2 ; ATA/990/2022 précité consid. 2b ; Benoît BOVAY, Procédure administrative, 2ème éd., 2015, p. 361 s.).</w:t>
      </w:r>
    </w:p>
    <w:p>
      <w:r>
        <w:t>Les développements ci-dessus sont également applicables aux notions de décision finale et de décision incidente au sens de la LPA (ATA/990/2022 précité consid. 2b ; ATA/974/2021 du 21 septembre 2021 consid. 2b).</w:t>
      </w:r>
    </w:p>
    <w:p>
      <w:r>
        <w:t>c. En l'espèce, le TAPI a jugé que le département ne pouvait, sur la seule base du préavis négatif de la commune, interrompre l'instruction de la requête en autorisation de construire et rejeter cette dernière, et lui a retourné le dossier afin qu'il reprenne l'instruction de la requête et statue au terme du processus.</w:t>
      </w:r>
    </w:p>
    <w:p>
      <w:r>
        <w:t>- 11/20 - A/3813/2021</w:t>
      </w:r>
    </w:p>
    <w:p>
      <w:r>
        <w:t>Par conséquent, le jugement litigieux ne met pas un terme définitif à la procédure et ne contraint pas le département à statuer dans un sens ou dans l’autre, de sorte qu’il doit être qualifié de décision incidente, ce qui n'est d'ailleurs pas contesté. 3)</w:t>
      </w:r>
    </w:p>
    <w:p>
      <w:r>
        <w:t>Le recours a été interjeté dans le délai de dix jours applicable pour la contestation des décisions incidentes (art. 62 al. 1 let. b LPA). 4) a. Les décisions incidentes sont susceptibles de recours, si elles peuvent causer un préjudice irréparable ou si l'admission du recours peut conduire immédiatement à une décision finale qui permet d'éviter une procédure probatoire longue et coûteuse (art. 57 let. c LPA).</w:t>
      </w:r>
    </w:p>
    <w:p>
      <w:r>
        <w:t>b. L'art. 57 let. c LPA a la même teneur que l'art. 93 al. 1 let. a et b LTF.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2ème éd., 2018, p. 432 n. 1265).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consid. 4 ; 131 I 57 consid. 1 ; 129 III 107 consid. 1.2.1).</w:t>
      </w:r>
    </w:p>
    <w:p>
      <w:r>
        <w:t>La jurisprudence admet notamment qu'il peut résulter un préjudice irréparable, au sens de l'art. 93 al. 1 let. a LTF, pour un service cantonal qui doit se soumettre aux injonctions du Tribunal cantonal ; si elle ne pouvait attaquer la décision de renvoi, l'autorité concernée serait contrainte de prendre une nouvelle décision qu'elle considère comme fausse et qu'elle ne pourrait plus contester par la suite (ATF 134 II 124 consid. 1.3; 133 V 477 consid. 5.2 ; arrêt du Tribunal fédéral 1C_266/2021 du 9 août 2022 consid. 3.1 ; Bernard CORBOZ, Commentaire de la LTF, 2ème éd., 2014, n. 17a ad art. 93 LTF).</w:t>
      </w:r>
    </w:p>
    <w:p>
      <w:r>
        <w:t>La chambre administrative a précisé à plusieurs reprises que l'art. 57 let. c LPA devait être interprété à la lumière de ces principes (ATA/1622/2017 du 19 décembre 2017 consid. 4c et les arrêts cités ; cette interprétation est critiquée par certains auteurs qui l'estiment trop restrictive : Stéphane GRODECKI/ Romain JORDAN, Questions choisies de procédure administrative, SJ 2014 II p. 458 ss).</w:t>
      </w:r>
    </w:p>
    <w:p>
      <w:r>
        <w:t>- 12/20 - A/3813/2021</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w:t>
      </w:r>
    </w:p>
    <w:p>
      <w:r>
        <w:t>c. En l'espèce, le présent litige porte sur la question de savoir si le département pouvait refuser l’autorisation de construire sollicitée en application de l’art. 59 al. 4bis LCI, vu le préavis négatif de la commune, ou s’il devait, comme l’a retenu le TAPI, poursuivre l’instruction de la demande et se prononcer sur la base de l’art. 59 al. 4 LCI, dès lors que la commune devrait être considérée comme ayant déjà défini les périmètres de densification accrue en zone 5 de son territoire.</w:t>
      </w:r>
    </w:p>
    <w:p>
      <w:r>
        <w:t>Certes, le seul retour du dossier au département pour instruction ne permet pas d’anticiper l’issue qui sera donnée à la requête en autorisation de construire, de sorte qu’il n’est pas exclu que celle-ci soit favorable à la commune. Toutefois, si le présent recours devait être déclaré irrecevable, la recourante se verrait privée de son droit de prononcer le refus de l’autorisation avant toute instruction et du double degré de juridiction pour trancher la question litigieuse précitée, susceptible de concerner d’autres procédures visant des demandes déposées avant le 1er janvier 2023.</w:t>
      </w:r>
    </w:p>
    <w:p>
      <w:r>
        <w:t>Le jugement attaqué étant en conséquence susceptible de causer à la recourante un préjudice irréparable, son recours sera déclaré recevable. 5)</w:t>
      </w:r>
    </w:p>
    <w:p>
      <w:r>
        <w:t>La recourante conteste devoir être considérée comme une commune ayant défini des secteurs de densification accrue et estime pouvoir faire usage du droit de veto fondé sur l’art. 59 al. 4bis LCI conduisant au refus de l’autorisation de construire en cause.</w:t>
      </w:r>
    </w:p>
    <w:p>
      <w:r>
        <w:t>a. L’art. 59 al. 1 à 4bis LCI a la teneur suivante :</w:t>
      </w:r>
    </w:p>
    <w:p>
      <w:r>
        <w:t>« La surface de la construction, exprimée en m2 de plancher, ne doit pas excéder 25 % de la surface de la parcelle. Cette surface peut être portée à 27,5 % lorsque la construction est conforme à un standard de haute performance énergétique, respectivement à 30 % lorsque la construction est conforme à un standard de très haute performance énergétique, reconnue comme telle par le service compétent. Ces pourcentages sont également applicables aux constructions rénovées ou agrandies qui respectent l’un de ces standards » (al. 1).</w:t>
      </w:r>
    </w:p>
    <w:p>
      <w:r>
        <w:t>« Par surface de plancher prise en considération dans le calcul du rapport des surfaces, il faut entendre la surface brute de plancher de la totalité de la construction hors sol » (al. 2).</w:t>
      </w:r>
    </w:p>
    <w:p>
      <w:r>
        <w:t>« Lorsque les circonstances le justifient et que cette mesure est compatible avec le caractère, l’harmonie et l’aménagement du quartier, le département peut</w:t>
      </w:r>
    </w:p>
    <w:p>
      <w:r>
        <w:t>- 13/20 - A/3813/2021 renoncer à prendre en considération dans le calcul du rapport des surfaces, la surface de plancher (al. 3) : des combles dont la hauteur est inférieure à 1,8 m (let. a) ; des combles de peu d’importance, indépendamment du vide d’étages (let. b) ; des garages de dimensions modestes, lorsque ceux-ci font partie intégrante du bâtiment principal (let. c) ; des serres, jardins d’hiver ou constructions analogues en matériaux légers et de dimensions modestes (let. d) ».</w:t>
      </w:r>
    </w:p>
    <w:p>
      <w:r>
        <w:t>« Une surface en pleine terre, à savoir dénuée de toute construction en surface ou en sous-sol et non revêtue, de la parcelle ou du groupe de parcelles considérées par la demande d'autorisation de construire doit être préservée » (al. 3bis).</w:t>
      </w:r>
    </w:p>
    <w:p>
      <w:r>
        <w:t>« Dans les périmètres de densification accrue définis par un plan directeur communal approuvé par le Conseil d'État et lorsque cette mesure est compatible avec le caractère, l’harmonie et l’aménagement du quartier, le département (al. 4) : peut autoriser, après consultation de la commune et de la commission d’architecture, un projet de construction en ordre contigu ou sous forme d’habitat groupé dont la surface de plancher habitable n’excède pas 44% de la surface du terrain, 48 % lorsque la construction est conforme à un standard de très haute performance énergétique (TPHE), reconnue comme telle par le service compétent (let. a) ; peut autoriser exceptionnellement, lorsque la surface totale de la parcelle ou d’un ensemble de parcelles contiguës est supérieure à 5’000 m2, avec l’accord de la commune exprimé sous la forme d’une délibération municipale et après la consultation de la commission d’architecture, un projet de construction en ordre contigu ou sous forme d’habitat groupé dont la surface de plancher habitable n’excède pas 55 % de la surface du terrain, 60 % lorsque la construction est conforme à un standard de très haute performance énergétique (TPHE), reconnue comme telle par le service compétent (let. b) ».</w:t>
      </w:r>
    </w:p>
    <w:p>
      <w:r>
        <w:t>« Dans les communes qui n’ont pas défini de périmètres de densification accrue dans leur plan directeur communal, lorsque les circonstances le justifient et que cette mesure est compatible avec le caractère, l’harmonie et l’aménagement du quartier, le département peut accorder des dérogations conformes aux pourcentages et aux conditions de l’al. 4, lettres a et b. Pour toutes les demandes d’autorisation de construire déposées avant le 1er janvier 2023 un préavis communal favorable est nécessaire » (al. 4bis).</w:t>
      </w:r>
    </w:p>
    <w:p>
      <w:r>
        <w:t>b. Ce dernier alinéa avait pour but d'aménager une période transitoire laissant aux communes le temps nécessaire pour procéder à l'établissement des périmètres de densification. Échéant le 1er juillet 2022 selon une proposition d'amendement du département du territoire, puis finalement le 1er janvier 2023 selon un sous-amendement du premier signataire du projet de loi (rapport PL 12566-A p. 19), cette période transitoire signifiait que passé cette date, « le département pourrait autoriser des constructions dans les cas où les communes n'auraient pas défini ses périmètres ou qu'il y aurait un désaccord. Si les communes refusaient ou</w:t>
      </w:r>
    </w:p>
    <w:p>
      <w:r>
        <w:t>- 14/20 - A/3813/2021 que le département n'était pas d'accord avec la manière dont les choses avaient été faites, le département pouvait émettre une réserve à l'approbation du PDCom et donnerait par la suite des autorisations en fonction des critères sur lesquels ils travaillaient actuellement pour améliorer la qualité des projets » (rapport PL 12566-A p. 15). L'association des communes genevoises (ci-après : ACG) avait exprimé sa satisfaction d'avoir été associée à l'élaboration de l'amendement général déposé par le département du territoire et s'y était déclarée favorable (rapport PL 12566-A p. 16).</w:t>
      </w:r>
    </w:p>
    <w:p>
      <w:r>
        <w:t>c. L’art. 156 al. 5 LCI (dispositions transitoires) – dans sa version entrée en vigueur le 28 novembre 2020 – prévoit que les al. 3bis, 4 et 5 de l’art. 59 LCI, dans leur teneur du 1er octobre 2020, s’appliquent aux demandes d’autorisation déposées après leur entrée en vigueur.</w:t>
      </w:r>
    </w:p>
    <w:p>
      <w:r>
        <w:t>d. L’actuel art. 10 al. 3 LaLAT, également adopté le 1er octobre 2020 et entré en vigueur le 28 novembre 2020, prévoit que les communes sont tenues d'adopter un PDCom, lequel détermine notamment les périmètres de zone 5 qui peuvent faire l'objet d'une densification accrue, ainsi que leur voies d'accès, projetées ou existantes à modifier, au sens de l'art. 19 al. 1 de la loi fédérale sur l’aménagement du territoire du 22 juin 1979 (LAT - RS 700). À cet effet, elles dressent un cahier des charges établi selon les directives du département. Le projet de PDCom est ensuite élaboré en liaison avec le département et la commission cantonale d'urbanisme. Le département peut toutefois renoncer à cette exigence pour les communes de moins de 1'000 habitants qui en font la demande en la motivant.</w:t>
      </w:r>
    </w:p>
    <w:p>
      <w:r>
        <w:t>Les travaux préparatoires précisent qu'il s'agit là aussi d'un amendement du département du territoire, indiquant qu'il souhaitait doter les acteurs concernés d'une approche renouvelée « pour être plus pertinents dans les autorisations qui concerneront les futurs projets. Le département souhaite pouvoir lever le moratoire d'ici à la fin de l'année. Ces propositions ont été partagées avec l'ACG » (rapport PL 12566-A p. 16).</w:t>
      </w:r>
    </w:p>
    <w:p>
      <w:r>
        <w:t>e. Suite à l'entrée en vigueur de ces nouvelles dispositions, le département a publié en ligne, le 19 janvier 2021, une « Marche à suivre pour la densification de la zone 5, Modalités d’application du nouvel article 59 LCI ». La transposition dans le PDCom de la stratégie de densification de la zone 5 doit suivre plusieurs étapes, à savoir :</w:t>
      </w:r>
    </w:p>
    <w:p>
      <w:r>
        <w:t>- production du diagnostic territorial de la zone 5 n'ayant pas vocation à être déclassée selon le PDCn 2030 ;</w:t>
      </w:r>
    </w:p>
    <w:p>
      <w:r>
        <w:t>- formulation des enjeux territoriaux de la zone 5, permettant de valider l'opportunité ou non d'une densification dans certains secteurs ;</w:t>
      </w:r>
    </w:p>
    <w:p>
      <w:r>
        <w:t>- 15/20 - A/3813/2021</w:t>
      </w:r>
    </w:p>
    <w:p>
      <w:r>
        <w:t>- élaboration de la stratégie de densification et définitions des secteurs à préserver d'une densification et de ceux à densifier, avec ou sans modification de zone, en particulier les secteurs à densification accrue. La stratégie identifie les voies d'accès, projetées ou existantes à modifier, induites par cette densification, notamment en lien avec le plan directeur de chemin pour piétons et les mobilités douces. La stratégie peut varier d'un secteur à l'autre selon le contexte et les enjeux identifiés. Elle traduit la vision communale pour le secteur concerné et identifie les conditions qualitatives à respecter lors de la densification ;</w:t>
      </w:r>
    </w:p>
    <w:p>
      <w:r>
        <w:t>- traduction de la stratégie dans une carte de synthèse et des fiches de mesures. Identification des espaces et de leurs statuts (privés ou publics) devant accueillir les aménagements partagés. Le lien avec le plan directeur de chemin pour piétons doit être établi.</w:t>
      </w:r>
    </w:p>
    <w:p>
      <w:r>
        <w:t>La marche à suivre indique que les outils de mise en œuvre des secteurs de densification accrue sont les lignes directrices d'aménagement ; les images directrices pour les groupes de parcelles (avec incitation à l'utilisation des clauses dérogatoires des règlements cantonaux, incitation aux mesures favorisant la desserte et incitation au regroupement parcellaire) ; autres outils (plans d'alignement, plan localisé de quartier, règlements spéciaux et plans de site).</w:t>
      </w:r>
    </w:p>
    <w:p>
      <w:r>
        <w:t>Par ailleurs, le département a mis en ligne, le 14 janvier 2021, une carte intitulée « état d'avancement des stratégies de densification zone 5 approuvées », dont il résulte que la commune A______ fait partie des six communes pour lesquelles la stratégie de densification de zone 5 a été approuvée avec « adaptations à prévoir selon les nouvelles modalités de la LCI du 1/10/2020 », les autres communes se trouvant à des stades moins avancés. 6) a. Le PDCom fixe les orientations futures de l'aménagement de tout ou partie du territoire d'une ou plusieurs communes. Il est compatible avec les exigences de l'aménagement du territoire du canton, contenues notamment dans le PDCn (art. 10 al. 1 et al. 2 LaLAT).</w:t>
      </w:r>
    </w:p>
    <w:p>
      <w:r>
        <w:t>La fiche A04 du PDCn, intitulée « Favoriser une utilisation diversifiée de la zone villas », a pour objectif la poursuite de la densification sans modification de zone de la zone villas en favorisant l'habitat individuel groupé. Elle vise une accentuation de la densification de la zone villas aux abords de l'agglomération, alors que les secteurs relevant de la protection du patrimoine et des sites devraient conserver une urbanisation plus légère. Cette fiche donne mandat aux communes de proposer, dans leurs PDCom, des stratégies communales pour leur zone villas en identifiant les secteurs à densifier, les éléments remarquables à protéger, le maillage arborisé à maintenir ou à créer, les espaces verts et publics à créer.</w:t>
      </w:r>
    </w:p>
    <w:p>
      <w:r>
        <w:t>b. Le PDCom 2ème génération A______, a été adopté par le Conseil municipal le 26 mai 2020 et approuvé par le Conseil d’Etat le 14 octobre 2020.</w:t>
      </w:r>
    </w:p>
    <w:p>
      <w:r>
        <w:t>- 16/20 - A/3813/2021</w:t>
      </w:r>
    </w:p>
    <w:p>
      <w:r>
        <w:t>Son chapitre 6 « projet directeur communal » comporte notamment une sous-partie intitulée « Stratégie d’évolution de la zone 5 » (6.1.2 p. 128 – 141). Il y est relevé notamment qu'une stratégie d'évolution de la zone 5 a été mise en œuvre afin de conditionner la densification en respectant la qualité de vie communale A______ et ses atouts paysagers, s’appuyant sur le diagnostic de la zone 5 qui évalue entre autres le potentiel théorique de la zone à bâtir de la commune. « Afin d'établir la stratégie, le territoire est séparé en cinq secteurs possédant des caractéristiques spécifiques : les trois coteaux, que sont le coteau nord, le coteau centre et le coteau sud ; le village A______ et le plateau sud. Cette stratégie « est basée sur quatre prémisses de bases » à savoir celle de l'égalité de traitement des propriétaires, celle de la compensation pour le bien de la collectivité, celle du respect des mesures d'accompagnement liées à l'aménagement du territoire et celle de la préservation et de la mise en valeur de l'identité et du caractère de chaque secteur (p. 131-132). « L'étude du potentiel théorique de développement de la zone à bâtir a permis d'identifier des secteurs en zone d'affectation 5 sur le territoire A______ ayant encore un potentiel de densification, situés sur le coteau mais aussi en bordure de zone agricole et des pénétrantes de verdure. Cette étude, illustrée par une carte, a permis d'identifier des secteurs à conditionner en termes de développement et d'autres présentant une opportunité d'étudier de nouvelles liaisons pédestres et espaces publics » (p. 132). « Pour répondre aux objectifs d'intérêt public, la stratégie de densification de la zone 5 vient s'appuyer sur neuf principes d'intervention concernant l'urbanisme, l'environnement, énergie et mobilité, qui doivent être pris en compte à chaque analyse de projet » (p. 135), lesquels sont repris dans un tableau synoptique proposant une progression depuis des conditions impératives vers des conditions qui ne sont que des recommandations (p. 139).</w:t>
      </w:r>
    </w:p>
    <w:p>
      <w:r>
        <w:t>Le chapitre 7 du PDCom, intitulé « programme de mise en œuvre », comprend différentes fiches, dont les fiches A consacrées aux aspects d'urbanisme, parmi lesquelles figurent cinq fiches relatives à la stratégie d'évolution dans la zone 5 dans cinq secteurs différents (fiches A4 à A8 p. 174 à 202). Chaque secteur est assorti d'une carte qui désigne par couleurs et pictogrammes divers éléments relatifs à l'urbanisme et au cadre bâti, au paysage, à la nature et à l'agriculture, ainsi qu'à la mobilité. Il résulte des cartes concernant les secteurs S1 (coteau nord), S2 (coteau centre) et S4 (coteau sud) qu'elles désignent en jaune les parcelles appartenant au « secteur densifiable en zone 5 », tandis que les cartes concernant les secteurs S3 (village) et S5 (plateau sud) désignent en outre, parmi ces parcelles, les périmètres « avec possibilités d'obtention de la dérogation art. 59 – selon application des critères (tableau synoptique) » et les périmètres « de protection des pénétrantes vertes exclus à la dérogation art. 59 – parcelles en contact direct avec la zone agricole ZA ».</w:t>
      </w:r>
    </w:p>
    <w:p>
      <w:r>
        <w:t>c. La parcelle litigieuse n° 1'046 fait partie du secteur S5 (plateau sud) et appartient au périmètre « avec possibilités d'obtention de la dérogation art. 59 ».</w:t>
      </w:r>
    </w:p>
    <w:p>
      <w:r>
        <w:t>- 17/20 - A/3813/2021 7)</w:t>
      </w:r>
    </w:p>
    <w:p>
      <w:r>
        <w:t>En l’espèce, le TAPI a retenu que le nouvel art. 59 al. 4 et al. 4bis LCI n'avait pas modifié la manière dont il appartenait aux instances spécialisées d'examiner la conformité d'un projet de PDCom et au Conseil d'État de l’approuver. Selon les premiers juges, l’entrée en vigueur de cette disposition n’empêcherait pas les communes d'entamer la révision d'un PDCom déjà conforme au PDCn 2030, celle-ci ne devant pas faire obstacle à l'application du plan en force et des périmètres de densification accrue définis. Par ailleurs, l’applicabilité immédiate du nouveau droit n’empêcherait pas de considérer qu'au moment de son entrée en vigueur, certaines communes pouvaient d'ores et déjà disposer d'un PDCom conforme, rien n’indiquant que toutes les communes disposant d'une zone villas devaient nécessairement reprendre et adapter leur plan. Il a également considéré que le nouvel art. 59 al. 4 et 4bis LCI n’imposerait pas de nouvelle exigence et ne viserait pas à accorder automatiquement des dérogations. Le Conseil d’État n’aurait en outre pas pu approuver un plan dont il aurait constaté qu’il serait incompatible avec une base légale allant entrer en vigueur quelques semaines plus tard. Enfin, le PDCom 2ème génération de la commune contiendrait les différents éléments ressortant de la marche à suivre du département, cette directive n’excluant pas l'existence de PDCom compatibles approuvés avant l'entrée en vigueur du nouvel art. 59 al. 4 et 4bis LCI.</w:t>
      </w:r>
    </w:p>
    <w:p>
      <w:r>
        <w:t>Ce raisonnement ne saurait toutefois être suivi, compte tenu du contexte et de la chronologie dans lesquels s’inscrit l’entrée en vigueur des nouveaux art. 59 al. 4 et 4bis LCI et 10 al. 3 LaLAT le 28 novembre 2020. Il y a en effet lieu de prendre en considération l’ensemble du dossier, notamment du texte des dispositions précitées, des travaux préparatoires dans le cadre du PL 3______, dont le rapport a été publié le 11 août 2020, ainsi que de la marche à suivre publiée par le département le 19 janvier 2021 et du PDCom 2ème génération adopté par le Conseil municipal le 26 mai 2020. Il en découle que la modification légale a introduit une manière d’élaborer dans les communes la stratégie de densification des zones différente de celle développée sous l’ancien droit, dans la mesure où il appartient désormais à celles-ci de décider de la densification accrue sur leur territoire au stade de la planification. Pour être conformes à l’art. 59 al. 4 LCI, les plans directeurs communaux doivent en effet prévoir des périmètres de densification accrue déterminant de manière précise les cas où une dérogation peut s’appliquer, ainsi que leurs voies d’accès à prévoir, étant précisé que ce dernier élément n’apparaît pas encore, en l’état, dans l’ensemble des plans communaux. La mise en conformité au nouveau droit a ainsi nécessité un travail de grande ampleur en vue de l’adaptation de la stratégie des communes en matière de densification de la zone 5, raison pour laquelle le législateur, en accord avec les acteurs concernés, a introduit un délai d’adaptation fixé d’abord au 1er juillet 2022 puis reporté au 31 décembre 2022, vu le retard pris par certaines communes.</w:t>
      </w:r>
    </w:p>
    <w:p>
      <w:r>
        <w:t>En effet, un amendement général a été proposé pour « laisser le temps » aux communes pour procéder à l’établissement des périmètres de densification. Cet</w:t>
      </w:r>
    </w:p>
    <w:p>
      <w:r>
        <w:t>- 18/20 - A/3813/2021 amendement a été accepté, à l’instar de la modification de l’art. 10 al. 3 LaLAT. Celui-ci a ainsi été amendé par le département qui a expliqué que si l’on introduisait une taxe d’équipement, les communes devaient désigner le programme d’équipement qui devait être prévu. Si certes, A______ est mentionnée comme ayant son PDCom en « consultation technique » lors de la présentation du département à la commission d’aménagement du Grand Conseil le 27 novembre 2019 et comme « approuvé » sur la carte du 19 janvier 2021 annexée à la « Marche à suivre pour la densification de la zone 5 », une adaptation selon les « nouvelles modalités LCI » du 1er octobre 2020 est expressément réservée.</w:t>
      </w:r>
    </w:p>
    <w:p>
      <w:r>
        <w:t>Contrairement à ce que retient le TAPI, il ne peut être admis sans réserve qu’un PDCom antérieur à la modification légale est néanmoins susceptible de répondre aux exigences des nouvelles dispositions et qu’une stratégie d’évolution élaborée sous l’ancien droit équivaudrait à une planification conforme aux nouvelles normes. La « Marche à suivre pour la densification de la zone 5 » a d’ailleurs été publiée dans le but d’adapter la manière de procéder aux nouveaux art. 59 al. 4 et al. 4bis LCI et 10 al. 3 LaLAT, la version du 19 janvier 2021 ayant été rédigée pour guider les communes et apporter des précisions concernant l’identification des périmètres à densifier. La stratégie de densification de la zone 5 ne constitue dès lors qu’un aspect du plan communal et est susceptible d’être approuvée séparément du PDCom 2ème génération.</w:t>
      </w:r>
    </w:p>
    <w:p>
      <w:r>
        <w:t>Dans le cas de la recourante, pour laquelle l’ensemble n’était pas approuvé au 31 décembre 2022, son droit de veto prévu à l’art. 59 al. 4bis LCI devait être respecté. En effet, lorsque le département a refusé de délivrer l’autorisation de construire litigieuse, le PDCom de la recourante ne respectait pas les exigences posées par les art. 59 al. 4 et al. 4bis LCI et 10 al. 3 LaLAT, notamment en raison de l’absence de détermination précise du secteur de densification accrue ainsi que des accès en lien avec des périmètres à densifier. Sa stratégie de densification de la zone 5 n’avait pas été approuvée et une mise à jour était toujours en cours.</w:t>
      </w:r>
    </w:p>
    <w:p>
      <w:r>
        <w:t>Au vu de ce qui précède, la remise en cause du droit de veto de la commune au sens de l’art. 59 al. 4bis LCI sur toute demande d’autorisation contenant une dérogation fondée sur l’art. 59 al. 4 LCI s’avère contraire au droit et à la volonté du législateur, de sorte qu’au moment où le département a rendu sa décision de refus, le seul préavis de la recourante suffisait à exclure tout octroi d’une autorisation de construire, ce dont les requérants devaient se douter en déposant leur projet le 24 juin 2021.</w:t>
      </w:r>
    </w:p>
    <w:p>
      <w:r>
        <w:t>Le recours sera en conséquence admis et le jugement attaqué annulé. 8)</w:t>
      </w:r>
    </w:p>
    <w:p>
      <w:r>
        <w:t>Vu l’issue du litige, aucun émolument ne sera perçu (art. 87 al. 1 LPA). Une indemnité de procédure de CHF 1'500.- sera allouée à la recourante, à la charge de Mme et M. B______, D______ et C______ pris conjointement et solidairement (art. 87 al. 2 LPA).</w:t>
      </w:r>
    </w:p>
    <w:p>
      <w:r>
        <w:t>- 19/20 - A/3813/2021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