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ATA/487/2013 vom 30. Juli 2013</w:t>
      </w:r>
    </w:p>
    <w:p>
      <w:r>
        <w:t>GE Cour de justice, 2013-07-30, FR</w:t>
      </w:r>
    </w:p>
    <w:p>
      <w:r>
        <w:rPr>
          <w:b/>
        </w:rPr>
        <w:t xml:space="preserve">Quelle: </w:t>
      </w:r>
      <w:r>
        <w:t>https://mcp.opencaselaw.ch/entscheid/ge_gerichte_ATA_487_2013</w:t>
      </w:r>
    </w:p>
    <w:p>
      <w:r>
        <w:t>FR: GE_GERICHTE ATA/487/2013 du 30 juillet 2013</w:t>
      </w:r>
    </w:p>
    <w:p>
      <w:r>
        <w:t>IT: GE_GERICHTE ATA/487/2013 del 30 luglio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dispose, dans sa teneur postérieure au 1er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w:t>
      </w:r>
    </w:p>
    <w:p>
      <w:r>
        <w:t>Selon l’art. 23 al. 2 de l’ordonnance relative à l'admission, au séjour et à l'exercice d'une activité lucrative du 24 octobre 2007 dans sa teneur en novembre 2011 (aOASA - RS 142.201),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jurisprudence citée).</w:t>
      </w:r>
    </w:p>
    <w:p>
      <w:r>
        <w:t>- 5/7 - A/4067/2011</w:t>
      </w:r>
    </w:p>
    <w:p>
      <w:r>
        <w:rPr>
          <w:b/>
        </w:rPr>
        <w:t>E. 4</w:t>
      </w:r>
    </w:p>
    <w:p>
      <w:r>
        <w:t>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5</w:t>
      </w:r>
    </w:p>
    <w:p>
      <w:r>
        <w:t>En l'espèce, le recourant est arrivé en Suisse en 2009 pour y suivre les cours en vue d'obtenir une maîtrise en finance, puis a dû cesser sa formation du fait de la faillite du son école, puis a obtenu, dans un établissement genevois, un bachelor de IT-Engineer in E-Business.</w:t>
      </w:r>
    </w:p>
    <w:p>
      <w:r>
        <w:t>Son recours à la chambre administrative ne contient aucune indication complémentaire concernant sa situation financière, si ce n'est d'affirmer que l'écolage de l'année 2011 – 2012 a été réglé. Dans ces conditions, et ainsi que l’a retenu le TAPI, la production d'un unique extrait de compte bancaire ne permettant pas de déterminer l'origine des fonds ni la somme dont l'intéressé dispose chaque mois est manifestement insuffisante pour démontrer qu'il dispose des moyens financiers nécessaires.</w:t>
      </w:r>
    </w:p>
    <w:p>
      <w:r>
        <w:t>L'une des conditions cumulatives nécessaires à l'obtention d'un permis de séjour pour études faisant défaut, il n'apparaît pas nécessaire de déterminer si les autres exigences, telles que l'adéquation du logement, la nécessité de continuer des études en Suisse et la démonstration que les études qu'il entend entreprendre ne peuvent être réalisées dans son pays sont remplies.</w:t>
      </w:r>
    </w:p>
    <w:p>
      <w:r>
        <w:rPr>
          <w:b/>
        </w:rPr>
        <w:t>E. 6</w:t>
      </w:r>
    </w:p>
    <w:p>
      <w:r>
        <w:t>Selon l’art. 64 al. 1 let. c LEtr, les autorités compétentes rendent une décision de renvoi ordinaire à l’encontre d’un étranger auquel l’autorisation de séjour est refusée ou dont l’autorisation n’est pas prolongée.</w:t>
      </w:r>
    </w:p>
    <w:p>
      <w:r>
        <w:t>Le recourant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w:t>
      </w:r>
    </w:p>
    <w:p>
      <w:r>
        <w:rPr>
          <w:b/>
        </w:rPr>
        <w:t>E. 7</w:t>
      </w:r>
    </w:p>
    <w:p>
      <w:r>
        <w:t>Mal fondé, le recours sera rejeté. Un émolument de CHF 400.- sera mis à la charge du recourant, qui succombe (art. 87 al. 1 LPA). Vu l'issue du litige, aucune indemnité de procédure ne lui sera allouée (art. 87 al. 2 LPA). * * * * *</w:t>
      </w:r>
    </w:p>
    <w:p>
      <w:r>
        <w:t>- 6/7 - A/4067/2011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