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ATA/487/2007 vom 18. Oktober 2006</w:t>
      </w:r>
    </w:p>
    <w:p>
      <w:r>
        <w:t>GE Cour de justice, 2006-10-18, FR</w:t>
      </w:r>
    </w:p>
    <w:p>
      <w:r>
        <w:rPr>
          <w:b/>
        </w:rPr>
        <w:t xml:space="preserve">Quelle: </w:t>
      </w:r>
      <w:r>
        <w:t>https://mcp.opencaselaw.ch/entscheid/ge_gerichte_ATA_487_2007</w:t>
      </w:r>
    </w:p>
    <w:p>
      <w:r>
        <w:t>FR: GE_GERICHTE ATA/487/2007 du 18 octobre 2006</w:t>
      </w:r>
    </w:p>
    <w:p>
      <w:r>
        <w:t>IT: GE_GERICHTE ATA/487/2007 del 18 ottobre 2006</w:t>
      </w:r>
    </w:p>
    <w:p>
      <w:pPr>
        <w:pStyle w:val="Heading2"/>
      </w:pPr>
      <w:r>
        <w:t>Erwägungen</w:t>
      </w:r>
    </w:p>
    <w:p>
      <w:r>
        <w:rPr>
          <w:b/>
        </w:rPr>
        <w:t>E. 1</w:t>
      </w:r>
    </w:p>
    <w:p>
      <w:r>
        <w:t>Interjeté en temps utile devant la juridiction compétente, le recours est recevable à cet égard (art. 56A de la loi sur l'organisation judiciaire du 22 novembre 1941 - LOJ - E 2 05 ; art. 63 al. 1 litt. a de la loi sur la procédure administrative du 12 septembre 1985 - LPA - E 5 10).</w:t>
      </w:r>
    </w:p>
    <w:p>
      <w:r>
        <w:rPr>
          <w:b/>
        </w:rPr>
        <w:t>E. 2</w:t>
      </w:r>
    </w:p>
    <w:p>
      <w:r>
        <w:t>a. Selon l'article 60 lettre b LPA, par renvoi de l'article 13 alinéa 3 de la loi sur la CSPS, toute personne qui est touchée directement par une décision et qui a un intérêt personnel digne de protection à ce qu'elle soit annulée ou modifiée a la qualité de partie.</w:t>
      </w:r>
    </w:p>
    <w:p>
      <w:r>
        <w:t>Selon les articles 6 et 13 de Convention de sauvegarde des droits de l'homme et des libertés fondamentales du 4 novembre 1950 (CEDH - RS 0.101) et les articles 29 à 30 de la Constitution fédérale de la Confédération suisse du 18 avril 1999 (Cst. - RS 101), toute personne a droit à un recours effectif et à un procès équitable.</w:t>
      </w:r>
    </w:p>
    <w:p>
      <w:r>
        <w:t>b. La qualité pour recourir contre une décision est subordonnée à l'existence d'un intérêt actuel. Cependant, il est renoncé à faire d'un tel intérêt une condition de recevabilité du recours lorsque les questions soulevées pourraient se poser à nouveau en tout temps et dans des circonstances identiques ou analogues ou qu'en raison de sa nature, le litige ne pourrait jamais être soumis à temps au tribunal (ATA/266/2007 du 22 mai 2007 et références citées)</w:t>
      </w:r>
    </w:p>
    <w:p>
      <w:r>
        <w:t>c. En l'espèce, le recourant séjourne à Belle-Idée dans le cadre d'un placement non volontaire à des fins d'assistance. Les mesures de contrainte, en particulier la mise en chambre sécurisé du 6 mars 2007, pourraient être à nouveau ordonnées dans le futur par le personnel soignant. Par conséquent, il y a lieu d'entrer en matière sur le recours, afin d'éviter que l'examen du bien-fondé de la mesure ne soit repoussé sans cesse en opposant au recourant le défaut d'intérêt actuel.</w:t>
      </w:r>
    </w:p>
    <w:p>
      <w:r>
        <w:rPr>
          <w:b/>
        </w:rPr>
        <w:t>E. 3</w:t>
      </w:r>
    </w:p>
    <w:p>
      <w:r>
        <w:t>a. Dans le cadre de sa mission, la commission de surveillance a, entre autres attributions, le pouvoir de statuer sur les demandes d'interdiction ou de levée des</w:t>
      </w:r>
    </w:p>
    <w:p>
      <w:r>
        <w:t>- 11/16 - A/1173/2007 mesures de contrainte (art. 7 al. 1 let. f de la loi sur la CSPS). Elle peut en outre instruire en vue d'un préavis ou d'une décision les cas de violation des dispositions de la LS ou de la loi concernant la privation de liberté à des fins d'assistance concernant les professionnels de la santé et les institutions de la santé, ainsi que les cas de violation des droits des patients (art. 7 al. 1 let. a de la loi sur la CSPS).</w:t>
      </w:r>
    </w:p>
    <w:p>
      <w:r>
        <w:t>Un bureau de trois membres est constitué au sein de la commission de surveillance afin d'examiner au préalable les plaintes, les dénonciations et les dossiers dont elle s'est saisie d'office. Le bureau peut décider notamment de l'envoi du dossier pour instruction à une délégation (art. 10 al. 1 et 2 let. d de la loi sur la CSPS).</w:t>
      </w:r>
    </w:p>
    <w:p>
      <w:r>
        <w:t>En particulier, dans les cas visés à l'article 7 alinéa 1 lettre f de la loi sur la CSPS, l'instruction du dossier est confiée à une délégation composée de trois membres de la commission de surveillance, dont un psychiatre et un membre d'une organisation se vouant statutairement à la défense des droits des patients (art. 23 al. 1 de la loi sur la CSPS). En revanche, en l'absence de médiation ou en cas d'échec de celle-ci, l'article 7 alinéa 1 lettre a de la loi sur la CSPS prévoit que l'instruction du dossier est confiée à une sous-commission formée de deux membres au moins, soit un médecin et un membre n'appartenant pas aux professions de la santé (art. 17 al. 1 de la loi sur la CSPS). Selon l'article 22 du règlement de la CSPS, les décisions des délégations sont prises à la majorité des membres. En cas d'égalité des votes, une voix prépondérante est accordée au psychiatre désigné pour rédiger la décision.</w:t>
      </w:r>
    </w:p>
    <w:p>
      <w:r>
        <w:t>b. En l’espèce, il ressort du rapport de l'audition du 19 mars 2007 que la décision de ne pas lever la mesure de contrainte a été prise à l'unanimité, ce qui permet d'affirmer que la présence d'un psychiatre supplémentaire n'a pas pu l'influencer. Par ailleurs, il a été confirmé lors de l’audience de comparution personnelle des parties que le recourant avait signé une demande de levée de mesures de contrainte et non un recours. La décision émanant des HUG et plus précisément du personnel de Belle-Idée avait fait l'objet d'un recours à la commission de surveillance avant d'être portée devant la juridiction supérieure. Par conséquent, le grief invoqué visant la qualité de partie de la commission de surveillance est infondé.</w:t>
      </w:r>
    </w:p>
    <w:p>
      <w:r>
        <w:rPr>
          <w:b/>
        </w:rPr>
        <w:t>E. 4</w:t>
      </w:r>
    </w:p>
    <w:p>
      <w:r>
        <w:t>a. Selon l'article 50 LS, toute mesure de contrainte à l'égard des patients est en principe interdite. Exceptionnellement, dans la mesure du possible, après avoir discuté avec le patient, respectivement le représentant qu'il a désigné, le représentant légal ou ses proches ou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 si le comportement du patient présente un danger grave pour sa sécurité ou sa santé ou celles d'autrui. Le médecin responsable d'une institution</w:t>
      </w:r>
    </w:p>
    <w:p>
      <w:r>
        <w:t>- 12/16 - A/1173/2007 de santé peut déléguer cette prérogative à un autre professionnel de la santé compétent. La mise en cellule d'isolement à caractère carcéral est interdite.</w:t>
      </w:r>
    </w:p>
    <w:p>
      <w:r>
        <w:t>A teneur de l'article 51 alinéa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l'article 51 alinéa 2 de la loi sur la santé, le patient, le représentant qu'il a désigné pour prendre en son nom les décisions de soins, son représentant légal et ses proches peuvent s'adresser à la commission de surveillance pour demander l'interdiction ou la levée des mesures de contrainte.</w:t>
      </w:r>
    </w:p>
    <w:p>
      <w:r>
        <w:t>Le point 3 des directives des HUG, sur le programme de soins en chambre fermée, prévoit que ce traitement, qui limite la liberté de mouvement des patients, doit éviter l'arbitraire, protéger les droits des patients et des soignants et respecter le principe de proportionnalité. Ce programme doit être organisé dans le respect d'un confort maximal pour le patient et, dans la mesure du possible, être introduit après en avoir discuté avec lui, respectivement, son représentant, son représentant légal ou ses proches. Une alternative moins contraignante doit être envisagée, cas échéant, tentée, avant la mise en chambre fermée. En particulier, à tout moment, une décision médicale peut être prise de fermer la porte de l'unité pour assurer la sécurité d'un patient et/ou parer un risque de fugue. Pour choisir entre chambre fermée et unité fermée, le médecin mettra en balance les avantages et les inconvénients de ces alternatives, non seulement du point de vue du patient concerné mais aussi de celui des autres patients de l'unité, eu égard au principe de proportionnalité.</w:t>
      </w:r>
    </w:p>
    <w:p>
      <w:r>
        <w:t>La décision de prescription du programme de soins en chambre fermée est prise si le comportement du patient impose de prendre rapidement des mesures pour assurer sa sécurité, celle des autres patients ou celle du personnel ou si d'autres mesures moins restrictives de la liberté personnelle ont échoué ou n'existent pas (pt 4.1). Dans la mesure du possible, cette mesure de contrainte doit être discutée avec le patient, respectivement le représentant qu'il a désigné, le représentant légal ou ses proches. Ils reçoivent les explications sur les raisons, les buts et les modalités de la mise en chambre fermée (pt 4.6).</w:t>
      </w:r>
    </w:p>
    <w:p>
      <w:r>
        <w:t>b. Le mémorial des séances du Grand Conseil (MGC) concernant l'article 51 LS définit la mesure de contrainte. Il s'agit de toute mesure limitant la personne dans sa liberté de mouvement. La notion doit dès lors être clairement distinguée du traitement médical forcé ou traitement "sans consentement" (MGC 2003- 2004/XI A 5849).</w:t>
      </w:r>
    </w:p>
    <w:p>
      <w:r>
        <w:t>La liberté de mouvement est une composante de la liberté personnelle garantie par la Constitution fédérale (art. 10 al. 2 Cst.). Elle n'est pas absolue et</w:t>
      </w:r>
    </w:p>
    <w:p>
      <w:r>
        <w:t>- 13/16 - A/1173/2007 peut être restreinte moyennant le respect des conditions énoncées à l'article 36 Cst. : la restriction doit ainsi reposer sur une base légale, être justifiée par un intérêt public ou par la protection d'un droit fondamental d'autrui et être proportionnée au but visé (MGC précité).</w:t>
      </w:r>
    </w:p>
    <w:p>
      <w:r>
        <w:t>En milieu médical, la question des mesures de contrainte doit être comprise dans un sens très large et recouvre des mesures aussi diverses que celles "liées à la surveillance électronique ou à la fermeture automatique des portes" et celles correspondant à des "entraves telles que des liens ou des barrières visant à éviter les chutes". Un vaste éventail de mesures plus ou moins contraignantes répond au principe de proportionnalité, la mesure la moins lourde devant dans tous les cas être préférée afin de restreindre le moins possible la liberté de mouvement dans l'hypothèse, qui doit rester exceptionnelle, où une telle restriction serait nécessaire pour protéger la sécurité et la santé du patient ou des tiers (MGC précité).</w:t>
      </w:r>
    </w:p>
    <w:p>
      <w:r>
        <w:t>c. Un traitement médical sous contrainte trouve un consensus entre juristes et médecins autour de la notion de péril en la demeure ; toute personne qui risque de devenir un danger pour elle-même ou autrui devient ainsi candidate à des mesures de contrainte, classiquement une hospitalisation non volontaire, surtout dans la mesure où son comportement est dû à une maladie ou à un état mental particulier susceptible de diminuer ses capacités d'action et de jugement. Protection de l'individu contre lui-même et/ou protection de la société contre une personne dérangeante, la ligne de démarcation est floue (Droit, santé mentale et handicap, acte de la 9ème journée de droit de la santé, rapport n° 2 de l'Institut du Droit de la Santé (IDS) de l'Université de Neuchâtel, 2003, p. 27).</w:t>
      </w:r>
    </w:p>
    <w:p>
      <w:r>
        <w:t>Dans le domaine de la toxicodépendance, certains considèrent que la privation de liberté à des fins d'assistance est un outil qui peut être utile et qui est fréquemment utilisé. Elle peut contribuer à déclencher dans le parcours d'une personne dépendante une prise de conscience, une "entrée en matière" thérapeutique (rapport n°2 de l'IDS précité, p. 28).</w:t>
      </w:r>
    </w:p>
    <w:p>
      <w:r>
        <w:t>Le psychiatre en institution doit parfois continuer de concilier son rôle de thérapeute du patient et celui de gardien désigné, si ce n'est de l'ordre social, du moins de la personne qui lui est confiée à sa bonne garde (ibidem).</w:t>
      </w:r>
    </w:p>
    <w:p>
      <w:r>
        <w:t>La contrainte ne saurait, a priori et par principe, avoir d'effet thérapeutique en tant que tel, d'autre part, elle pourrait cependant permettre la mise sous protection momentanée d'une personne, et le démarrage éventuel d'un processus de soins. Il est probablement illusoire d'envisager de se passer totalement de mesures contraignantes dans le domaine des soins et de la médecine ; en revanche, il est certain qu'il faut en réglementer strictement l'usage. Il s'agit de protéger au mieux les droits de la personne ou du patient dans ces circonstances (ibidem).</w:t>
      </w:r>
    </w:p>
    <w:p>
      <w:r>
        <w:t>- 14/16 - A/1173/2007</w:t>
      </w:r>
    </w:p>
    <w:p>
      <w:r>
        <w:t>Il est impératif de codifier l’usage des mesures de contrainte ainsi que les circonstances et critères des cas d’application des ces dernières d'une manière aussi explicite, précise et non ambivalente que possible ; cependant, l'exercice est très délicat et le consensus difficile à trouver. Le débat est encore vif et contradictoire, y compris au plan international (ibidem).</w:t>
      </w:r>
    </w:p>
    <w:p>
      <w:r>
        <w:t>Il convient de souligner que le principe d'interdiction des mesures de contrainte est le corollaire de celui du consentement libre et éclairé, et qu'il constitue une exigence fondamentale afin de garantir la dignité humaine. Il faut donc rappeler que toute contrainte à l'égard des patients est interdite sauf s'il s'agit de préserver, dans une situation urgente, la vie ou l'intégrité de la personne soignée et celle des personnes de son entourage. Si l'on admet des exceptions, dès lors les mesures de contrainte envisagées et envisageables (actuellement pratiquées) sont les suivantes : l'isolement, la contention, la limitation des contacts avec l'extérieur et le traitement médicamenteux forcé. Il est proposé qu' "à titre exceptionnel, en dehors de toute situation urgente et après en avoir discuté avec le patient ou son représentant légal, le médecin responsable puisse imposer pour une durée limitée des mesures de contrainte strictement nécessaires à la prise en charge du patient incapable de discernement", il faut par ailleurs que d'autres mesures moins restrictives aient échoué ou n'existent pas et que le comportement du patient présente un danger pour sa vie, sa sécurité, son intégrité ou pour celles des autres personnes dans l'établissement (rapport n°2 de l'IDS précité, p. 31).</w:t>
      </w:r>
    </w:p>
    <w:p>
      <w:r>
        <w:t>d. En l'espèce, le recourant souffre de schizophrénie et de toxicomanie. Il suit un traitement à base de méthadone, néanmoins le risque de rechute est encore élevé. Il ressort du témoignage du Dr Robert que toutes les mesures prises à l'encontre du recourant s'inscrivent dans le cadre du traitement de sa pathologie. Le recourant enfreignait systématiquement les règles et il avait besoin d'un cadre où ces dernières sont clairement établies. Le Dr Robert a connu le recourant pendant un traitement beaucoup plus souple qui s’est soldé par un échec. Le régime auquel le recourant est soumis permet une abstinence constante, ce que ce dernier a reconnu en audience de comparution personnelle.</w:t>
      </w:r>
    </w:p>
    <w:p>
      <w:r>
        <w:t>En outre, le recourant était prévenu que lorsqu'il fuguait ou lorsqu'il ingérait des substances toxiques, il serait immédiatement mis en chambre sécurisée.</w:t>
      </w:r>
    </w:p>
    <w:p>
      <w:r>
        <w:t>En ce qui concerne le régime pavillonnaire strict, il ressort des directives des HUG que cette mesure peut être prise en tout temps si le patient risque de fuguer. Le recourant, lors de ses fugues, était un danger autant pour lui-même, dans le risque de consommation de toxiques, que pour autrui, dans le fait d'agresser son entourage afin d'obtenir l'argent nécessaire à l'achat de ces substances.</w:t>
      </w:r>
    </w:p>
    <w:p>
      <w:r>
        <w:t>Il y a lieu de reconnaître que ces mesures sont ordonnées à titre punitif lors de la violation de règles de comportement qui sont clairement établies par le médecin traitant. Dans la mesure où elles sont, au préalable, communiquées au</w:t>
      </w:r>
    </w:p>
    <w:p>
      <w:r>
        <w:t>- 15/16 - A/1173/2007 recourant, ces punitions entrent dans le cadre du traitement de son état et sont donc de nature thérapeutique.</w:t>
      </w:r>
    </w:p>
    <w:p>
      <w:r>
        <w:rPr>
          <w:b/>
        </w:rPr>
        <w:t>E. 5</w:t>
      </w:r>
    </w:p>
    <w:p>
      <w:r>
        <w:t>Au vu de ce qui précède, le recours sera rejeté. Eu égard à la situation financière du recourant, aucun émolument ne sera mis à sa charge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