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ATA/486/2023 vom 9. Mai 2023</w:t>
      </w:r>
    </w:p>
    <w:p>
      <w:r>
        <w:t>GE Cour de justice, 2023-05-09, FR</w:t>
      </w:r>
    </w:p>
    <w:p>
      <w:r>
        <w:rPr>
          <w:b/>
        </w:rPr>
        <w:t xml:space="preserve">Quelle: </w:t>
      </w:r>
      <w:r>
        <w:t>https://mcp.opencaselaw.ch/entscheid/ge_gerichte_ATA_486_2023</w:t>
      </w:r>
    </w:p>
    <w:p>
      <w:r>
        <w:t>FR: GE_GERICHTE ATA/486/2023 du 9 mai 2023</w:t>
      </w:r>
    </w:p>
    <w:p>
      <w:r>
        <w:t>IT: GE_GERICHTE ATA/486/2023 del 9 maggio 2023</w:t>
      </w:r>
    </w:p>
    <w:p>
      <w:pPr>
        <w:pStyle w:val="Heading2"/>
      </w:pPr>
      <w:r>
        <w:t>Regeste</w:t>
      </w:r>
    </w:p>
    <w:p>
      <w:r>
        <w:t>Résumé: Recours contre un jugement du TAPI confirmant une décision du département refusant de délivrer une autorisation de construire. L’autorisation préalable accordée en 2016 est devenue caduque à l’échéance d’un délai de deux ans en l’absence d’une demande de prolongation de validité. Le département était donc en droit d’examiner librement le nouveau projet soumis en 2019 et de s’écarter de son appréciation antérieure. Les recourants ne peuvent pas se prévaloir du respect de la bonne foi. Le projet de construction ne respecte pas la distance minimale de 15 m à la route communale, de sorte que l’octroi d’une dérogation est nécessaire. Le département a suivi le préavis négatif de la commune, qui a mis en évidence plusieurs motifs pertinents à l’encontre du choix d’implantation des bâtiments. L’OCAN a également émis un préavis négatif car le projet prévoyait l’abattage d’une quantité importante d’arbres sans compensation effective possible. La situation des bâtiments auxquels se réfèrent les recourants pour invoquer une violation du principe de l’égalité de traitement diffère nettement de celle du projet litigieux. Rejet du recours et confirmation du jugement du TAPI.</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bien-fondé du jugement du TAPI du 28 septembre 2022 rejetant le recours des requérants contre la décision du 24 juin 2021, par laquelle le département a refusé de leur délivrer l’autorisation de construire. 3. À titre préalable, les recourants sollicitent leur audition personnelle, celle de S_____ et une inspection locale. 3.1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w:t>
      </w:r>
    </w:p>
    <w:p>
      <w:r>
        <w:t>- 11/25 - A/2809/2021 sur la décision à rendre (ATF 145 I 167 consid. 4.1 ; 142 II 218 consid. 2.3 ; 140 I 285 consid. 6.3.1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étant encore rappelé que la procédure administrative est en principe écrite (art. 18 LPA ; art. 41 LPA ; ATF 140 I 68 consid. 9.6 ; arrêts du Tribunal fédéral 1C_83/2019 du 29 janvier 2020 consid. 3.2 ; 2C_236/2019 du 4 juillet 2019 consid. 5.2). 3.2 En l'espèce, la chambre de céans dispose d'un dossier complet, comprenant notamment les écritures des parties et toutes les pièces produites à leur appui. Les recourants ne soutiennent pas que leur audition ou celle de témoins apporteraient des éléments pertinents qui ne résulteraient pas déjà des documents versés à la procédure. En outre, les nombreux plans figurant au dossier, en particulier ceux de construction et d’arborisation, complétés en tant que de besoin par la consultation du Système d’information du territoire à Genève (SITG), permettent de se rendre compte de la situation de fait, de sorte qu’un transport sur place n’est pas utile. Partant, pour les mêmes motifs que ceux retenus par les premiers juges, la chambre de céans estime être en possession de tous les éléments nécessaires pour statuer en pleine connaissance de cause sur les griefs invoqués par les recourants. Il ne sera dès lors pas donné suite aux mesures d'instruction sollicitées. 4. Les recourants invoquent une violation de leur droit d'être entendus et reprochent au département d’avoir rendu la décision litigieuse sans leur avoir au préalable communiqué les demandes de compléments de certaines instances de préavis. En l’occurrence, la décision de refus litigieuse se réfère aux préavis défavorables de l'OCAN et de la commune et est fondée sur le non-respect des art. 1, 14 et 16 RCVA, 3 LPN et 11 LRoutes. Par conséquent, compte tenu des motifs retenus pour refuser l'autorisation, le département pouvait, par économie de procédure et dans un but de célérité, ne pas transmettre aux recourants les demandes de compléments. Aucune violation du droit d'être entendu ne saurait donc être retenue.</w:t>
      </w:r>
    </w:p>
    <w:p>
      <w:r>
        <w:t>- 12/25 - A/2809/2021</w:t>
      </w:r>
    </w:p>
    <w:p>
      <w:r>
        <w:rPr>
          <w:b/>
        </w:rPr>
        <w:t>E. 5</w:t>
      </w:r>
    </w:p>
    <w:p>
      <w:r>
        <w:t>Les recourants font valoir une violation du principe de la bonne foi. Ils rappellent avoir obtenu une autorisation préalable le 15 février 2016 (DP 1_____), portant sur un projet pratiquement similaire, s'agissant en particulier des aspects ayant motivé la décision de refus, à savoir en lien avec l'abattage d'arbres et la distance de la route.</w:t>
      </w:r>
    </w:p>
    <w:p>
      <w:r>
        <w:rPr>
          <w:b/>
        </w:rPr>
        <w:t>E. 5.1</w:t>
      </w:r>
    </w:p>
    <w:p>
      <w:r>
        <w:t>Le principe de la bonne foi est consacré par l'art. 5 al. 3 Cst, qui dispose que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qu'elle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1C_307/2019 du 3 avril 2020 consid. 5.1).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(ATF 129 II 361 consid. 7.1). L'administré doit donc avoir eu des raisons sérieuses d'interpréter comme il l'a fait le comportement de l'administration et d'en déduire les conséquences qu'il en a tirées (arrêt du Tribunal fédéral 1C_307/2019 du 3 avril 2020 consid. 5.1).</w:t>
      </w:r>
    </w:p>
    <w:p>
      <w:r>
        <w:rPr>
          <w:b/>
        </w:rPr>
        <w:t>E. 5.2</w:t>
      </w:r>
    </w:p>
    <w:p>
      <w:r>
        <w:t>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L’art. 4 LCI prévoit notamment que l’autorisation est caduque si les travaux ne sont pas entrepris dans les deux ans qui suivent sa publication dans la FAO (al. 5). Lorsque la demande en est présentée un mois au moins avant l’échéance du délai fixé à l’alinéa précédent, le département peut prolonger d’une année la validité de</w:t>
      </w:r>
    </w:p>
    <w:p>
      <w:r>
        <w:t>- 13/25 - A/2809/2021 l’autorisation de construire ; dans ce cas, la présentation des pièces prévues à l’art. 2 al. 2 n’est pas exigible (al. 7). Sous réserve de circonstances exceptionnelles, l'autorisation ne peut être prolongée que deux fois (al. 8). La décision accordant une prolongation est publiée dans la Feuille d'avis officielle (al. 9). En vertu de l’art. 5 LCI, la demande préalable tend à obtenir du département une réponse sur l'implantation, la destination, le gabarit, le volume et la dévestiture du projet présenté (al. 1). La réponse à la demande préalable régulièrement publiée vaut décision et déploie les effets prévus aux art. 3, 5 al. 1 et 146 de la loi (al. 5). L'autorisation préalable est caduque si la demande définitive n'est pas présentée dans le délai de deux ans à compter de sa publication dans la FAO. L'art. 4 al. 7, 8 et 9, est applicable par analogie (al. 6).</w:t>
      </w:r>
    </w:p>
    <w:p>
      <w:r>
        <w:rPr>
          <w:b/>
        </w:rPr>
        <w:t>E. 5.2.1</w:t>
      </w:r>
    </w:p>
    <w:p>
      <w:r>
        <w:t>L'autorisation préalable d'implantation a été créé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(ATF 135 II 30 ; arrêt du Tribunal fédéral 1C_40/2012 du 14 février 2012). En déposant une telle demande préalable,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(arrêt du Tribunal fédéral 1C 588/2016 26 octobre 2017 consid. 2.3). L'art. 5 al. 6 LCI prévoit la caducité de l'autorisation préalable lorsqu'elle est n'est pas suivie d'une demande d'autorisation de construire dans les deux ans qui suivent sa publication. Cette limitation dans le temps tend à confirmer qu'une telle décision n'est pas vouée à rester en force sur le long terme (arrêt du Tribunal fédéral 1C_74/2021, 1C_76/2021 du 24 janvier 2022 consid. 6.2).</w:t>
      </w:r>
    </w:p>
    <w:p>
      <w:r>
        <w:rPr>
          <w:b/>
        </w:rPr>
        <w:t>E. 5.2.2</w:t>
      </w:r>
    </w:p>
    <w:p>
      <w:r>
        <w:t>Le permis d'implantation confère temporairement force de chose décidée aux éléments qu'il contient, ce qui a pour effet d'empêcher que ces éléments soient remis en cause à l'occasion du permis de construire. C'est en cela qu'il contribue à la sécurité du droit. En statuant sur une demande préalable d'implantation, l'autorité communale doit trancher des questions de principe liées à l'édification de la construction, en particulier le droit de construire, l'emplacement, le type d'ouvrage et les rapports de surface. L'autorisation de construire doit être délivrée si la demande en est faite dans le délai de deux ans et si le projet de construction est conforme aux conditions fixées par le permis d'implantation. Si le propriétaire laisse son permis d'implantation se périmer ou s'il présente un projet qui ne respecte pas les conditions fixées par cette autorisation préalable ou qui diffère du projet faisant l'objet de l'autorisation, l'autorité communale, le cas échéant</w:t>
      </w:r>
    </w:p>
    <w:p>
      <w:r>
        <w:t>- 14/25 - A/2809/2021 l'autorité de recours, examine librement toutes les questions que soulève le projet sans être liée par le permis d'implantation initial. L'autorisation préalable ne lie la municipalité lors de la procédure définitive de permis de construire que dans la mesure où la situation de fait et de droit déterminante qui a conduit à son octroi reste pour l'essentiel inchangée (arrêt du Tribunal administratif du canton de Vaud AC.2016.0015 du 23 août 2016, in RDAF 2017 I p. 104 ss). S’agissant de l’autorisation de construire, la caducité est la conséquence de l'absence de travaux dans le délai mentionné à l'art. 4 al. 5 LCI, ce délai étant un délai de péremption (arrêt du Tribunal fédéral 1A.150/2001 du 31 janvier 2002 consid. 1.1.3 ; ATA/247/2013 du 16 avril 2013 consid. 4b).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De plus, le juge doit examiner d'office si ce droit est périmé (Pierre MOOR/Etienne POLTIER, Droit administratif, vol. 2, 3e éd., 2011, p. 102-104 ; ATA/308/2021 du 9 mars 2021 consid. 4b). Selon la jurisprudence, l'intérêt au respect de l'autorité de la chose jugée et de la bonne foi n'est pas pertinent lorsque l'autorisation de construire est devenue caduque (arrêts du Tribunal fédéral 1C_273/2021 du 28 avril 2022, 1C_587/2017 du 19 mars 2018).</w:t>
      </w:r>
    </w:p>
    <w:p>
      <w:r>
        <w:rPr>
          <w:b/>
        </w:rPr>
        <w:t>E. 5.3</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147 V 35 consid. 7.1 ; arrêt du Tribunal fédéral 1C_686/2020 du 12 mai 2021 consid. 2.1.2).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 conforme à la Constitution (ATF 144 III 58 consid. 4.1.3.1) ou plus généralement au droit supérieur (ATF 146 V 87 consid. 8.2.2).</w:t>
      </w:r>
    </w:p>
    <w:p>
      <w:r>
        <w:rPr>
          <w:b/>
        </w:rPr>
        <w:t>E. 5.4</w:t>
      </w:r>
    </w:p>
    <w:p>
      <w:r>
        <w:t>En l'espèce, l'autorisation préalable DP 1_____, publiée dans la FAO le 19 février 2016, n'a fait l'objet d'aucune demande de prolongation de validité et est</w:t>
      </w:r>
    </w:p>
    <w:p>
      <w:r>
        <w:t>- 15/25 - A/2809/2021 ainsi devenue caduque à l'échéance d'un délai de deux ans, soit le 20 février 2018. Les recourants ne le contestent pas. La jurisprudence relative à l’art. 4 al. 5 LCI qui concerne les autorisations de construire ordinaires peut s'appliquer mutatis mutandis à l’art. 5 al. 6 LCI en matière d’autorisation préalable, ces deux dispositions prévoyant dans des termes identiques la caducité de l’autorisation délivrée en l’absence de certaines démarches dans un délai de deux ans suivant la publication dans la FAO, et ce dans un même but, soit celui de ne pas permettre à l’autorisation de demeurer en force sur le long terme. Partant, les recourants ayant laissé leur autorisation préalable se périmer, celle-ci a perdu toute validité. Le département n’était donc plus lié par la DP 1_____ lorsque les recourants ont déposé le 8 novembre 2019 la première version de la DD 2_____. Que cette dernière soit similaire au projet autorisé à titre préalable est sans pertinence, puisque les éléments fixés dans la DP 1_____ ont perdu leur autorité de chose décidée avec la caducité de l'autorisation. Le département était donc en droit d’examiner librement toutes les questions soulevées par le nouveau projet et à s’écarter de son appréciation antérieure. Le TAPI a donc jugé à bon droit que les recourants ne pouvaient se prévaloir du respect de la bonne foi, puisque l'autorisation était devenue caduque. À toutes fins utiles, il sera rappelé que les recourants auraient pu solliciter la prolongation de l’autorisation préalable et que le département, pas plus que la commune, ne leur ont délivré d’information erronée ni n’ont adopté un comportement propre à les tromper. Ils n’ont jamais émis l'assurance qu'ils conserveraient la même appréciation au-delà de la période de validité de la demande préalable. Au contraire, l’autorisation préalable mentionnait déjà être délivrée à certaines conditions, dont celle d’observer les directives contenues dans certains préavis, notamment celui de l’OCAN du 23 septembre 2013, lequel était favorable sous réserve qu’un PAP complet soit soumis lors de la demande définitive démontrant, entre autres, la conservation valable de la végétation en place et la plantation projetée compensant les arbres devant être sacrifiés à la construction. Le département était donc fondé à procéder à un nouvel examen global du projet, en tenant compte des nouvelles positions de l'OCAN et de la commune, et ce même en l’absence de tout changement législatif. Partant, le principe de la bonne foi n'a pas été violé.</w:t>
      </w:r>
    </w:p>
    <w:p>
      <w:r>
        <w:rPr>
          <w:b/>
        </w:rPr>
        <w:t>E. 6</w:t>
      </w:r>
    </w:p>
    <w:p>
      <w:r>
        <w:t>Les recourants invoquent une violation du principe de proportionnalité dans le cadre de l’application de l’art. 11 LRoutes, d’une part, et de l’art. 3 al. 2 LPN et des prescriptions du RCVA, d’autre part.</w:t>
      </w:r>
    </w:p>
    <w:p>
      <w:r>
        <w:t>- 16/25 - A/2809/2021</w:t>
      </w:r>
    </w:p>
    <w:p>
      <w:r>
        <w:rPr>
          <w:b/>
        </w:rPr>
        <w:t>E. 6.1</w:t>
      </w:r>
    </w:p>
    <w:p>
      <w:r>
        <w:t>Ils soutiennent que la pesée des intérêts en présence aurait dû conduire à l’octroi d’une dérogation selon l’art. 11 al. 3 LRoutes. Selon eux, cette dernière s’appliquait notamment si un élargissement des voies publiques paraissait peu probable. De plus, plusieurs bâtiments étaient implantés à une distance inférieure à 15 m du chemin de la Naz et la ratio legis de la dérogation résidait précisément dans le fait de permettre à un projet de respecter un alignement des constructions existantes, lorsqu’un élargissement de la route paraissait illusoire. Les considérations relatives à l’impact sur le contexte urbain et paysager, les nuisances causées au voisinage, la densité et le gabarit, ou encore l’impact sur l’ensoleillement n’avaient jamais été soulevées dans le cadre de la demande préalable. Cela étant, leur projet n’aurait qu’un très faible impact sur l’ensoleillement et sa densité respecterait les limitations en vigueur. Il n’y avait aucun intérêt public justifiant le refus de la dérogation. Même si tel avait été le cas, leurs intérêts étaient à tout le moins prépondérants, compte tenu de la perte de valeur de leur terrain qui serait alors minconstructible et des frais déjà engagés.</w:t>
      </w:r>
    </w:p>
    <w:p>
      <w:r>
        <w:rPr>
          <w:b/>
        </w:rPr>
        <w:t>E. 6.1.1</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rPr>
          <w:b/>
        </w:rPr>
        <w:t>E. 6.1.2</w:t>
      </w:r>
    </w:p>
    <w:p>
      <w:r>
        <w:t>Selon l’art. 11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(LExt - L 1 40) ou par tous autres plans d’affectation du sol au sens des articles 12 ou 13 de la loi d’application de la loi fédérale sur l’aménagement du territoire du 4 juin 1987 (LaLAT - L 1 30 ; .al. 1). À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 2 si les conditions locales font apparaître que l’interdiction de construire qui en découle ne repose sur aucun motif pertinent d’aménagement du territoire ou d’environnement (al. 3). L’autorité administrative jouit d’un large pouvoir d’appréciation dans l’octroi de dérogations. Cependant, celles-ci ne peuvent être accordées ni refusées d’une</w:t>
      </w:r>
    </w:p>
    <w:p>
      <w:r>
        <w:t>- 17/25 - A/2809/2021 manière arbitraire. Tel est le cas lorsque la décision repose sur une appréciation insoutenable des circonstances et inconciliable avec les règles du droit et de l'équité et se fonde sur des éléments dépourvus de pertinence ou néglige des facteurs décisifs (ATA/193/2023 du 28 février 2023 consid. 7.2 ; ATA/1547/2017 du 28 novembre 2017 consid. 5c et les références citées).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(ATA/193/2023 du 28 février 2023 consid. 7.2 ; ATA/1101/2022 du 1er novembre 2022 consid. 5e ; ATA/95/2022 du 1er février 2022 consid. 7d ; ATA/639/2020 du 30 juin 2020 consid. 4d).</w:t>
      </w:r>
    </w:p>
    <w:p>
      <w:r>
        <w:rPr>
          <w:b/>
        </w:rPr>
        <w:t>E. 6.1.3</w:t>
      </w:r>
    </w:p>
    <w:p>
      <w:r>
        <w:t>En l’occurrence, il est admis que l’autorisation de construire sollicitée requiert l’octroi d’une dérogation au sens de l’art. 11 al. 3 LRoutes, dérogation qui peut être accordée si les conditions locales font apparaître que l’interdiction de construire ne repose sur aucun motif pertinent d’aménagement du territoire ou d’environnement. La question d’un éventuel élargissement des voies publiques n’est donc pas décisive. Comme constaté par le TAPI, il ne saurait être retenu que les bâtiments voisins cités par les recourants forment une ligne structurante forte constitutive d'un alignement de fait. En effet, il ressort clairement des plans versés au dossier et des photographies aériennes du SITG que les immeubles situés sur cette partie du chemin de la Naz, à savoir l'immeuble n° 9_____ et la cabine SIG (bâtiment n° 3_____) sis sur la parcelle n° 2'796, et la villa localisée du côté opposé du chemin de la Naz (bâtiment n° 4_____) sur la parcelle n° 2'798, ne sont pas alignés sur une même ligne droite et ne marquent pas de front visible permettant d'y situer un alignement de constructions existantes. En outre, ces immeubles sont effectivement de typologie différente. La décision litigieuse, par laquelle le département a décidé de suivre le préavis défavorable de la commune, laquelle est l'instance compétente au sens de l'art. 11 al. 3 LRoutes, n’apparaît donc pas critiquable. Dans son préavis du 17 décembre 2020, la commune a dûment motivé les raisons pour lesquelles elle émettait un préavis négatif. Elle a notamment observé que le projet prévoyait la densification excessive d'un ensemble résidentiel déjà</w:t>
      </w:r>
    </w:p>
    <w:p>
      <w:r>
        <w:t>- 18/25 - A/2809/2021 amplement construit et impactait trop lourdement un secteur fragile, de grande sensibilité urbaine et paysagère. L'IUS final était de 0.99. La densité de l’opération était sans commune mesure par rapport aux densités existantes dans le quartier sur cette même zone qui était en outre d’affection rurale. Le projet nuirait, en raison de son gabarit et de son choix d'implantation, aux points de vue accessibles au public et impacterait l'ensoleillement des logements existants situés à proximité directe, en supprimant le dégagement sur le parc actuel. Les bâtiments se feraient front, celui existant se retrouverait en contre-bas du nouveau et subirait un effet d'encaissement pour les logements en rez-de-jardin. La cour se retrouverait dans l’ombre quasi permanente sauf en plein été avec alors le risque de surchauffe de l’espace enclavé. En outre, le projet prévoyait d’abattre onze arbres majeurs, sacrifiant un jardin, pièce maîtresse de la valeur paysagère, patrimoniale et structurante du quartier, alors que la partie des parcelles destinée à accueillir le projet était la seule de l'ensemble résidentiel à offrir actuellement une arborisation, qui était de qualité déterminante et servait de frange et de filtre à l'urbanisation en bordure de la zone agricole. Ces arbres, dont certains étaient cinquantenaires, constituaient un habitat pour la petite faune. En outre, l’ampleur du parking débordant en sous-sol et les 20 à 30 cm de remblai prévu sur la dalle du parking réduisaient presque à néant la surface en plein terre, de sorte que les possibilités de plantation étaient réduites. Ainsi, des arbustes étaient prévus à la place d’arbres majeurs et ils connaîtraient des conditions de croissance limitée, de sorte qu’ils ne pourraient pas permettre de reconstituer l’équivalent des sujets existants, même dans 50 ans. Le projet était déficitaire en termes de places de stationnement pour les motos et vélos, et l’implantation de l’essentiel des places vélos en sous-sol n’était pas favorable à l’utilisation au quotidien. Le projet risquerait également de provoquer un encombrement du trafic débordant sur le chemin de la Naz et de compromettre la sécurité des piétons. Elle a ainsi mis en évidence plusieurs motifs pertinents à l’encontre du choix d’implantation des bâtiments, soit en défaveur de l’octroi d’une dérogation. Les recourants ne font valoir aucun argument permettant de douter de la pertinence de cette analyse. Que l’IUS final soit porté avec leur projet à 0.93 comme ils le calculent, ou à 0.99 comme retenu par la commune, représente une minime différence qui n’est pas susceptible de remettre en cause la densification excessive retenue par la commune. Les recourants ne prétendent d’ailleurs pas que le département se serait livré à une appréciation insoutenable, qu’il aurait négligé des facteurs décisifs ou encore qu’il se serait laissé guider pas des considérations étrangères au but de la loi. Que des autorités de préavis, dont l’OCT, n’aient formulé aucune remarque n’est pas pertinent. Il en va de même du fait que certaines considérations n’aient pas été soulevées au stade de la demande préalable, la DP 1_____ étant devenue caduque.</w:t>
      </w:r>
    </w:p>
    <w:p>
      <w:r>
        <w:t>- 19/25 - A/2809/2021 L’intérêt économique des recourants ne justifie pas l’octroi de la dérogation sollicitée, eu égard aux intérêts publics et privé en présence. Contrairement à ce qu’ils soutiennent, le refus d’autorisation de construire ne saurait être assimilé à une expropriation, étant rappelé que leurs parcelles sont déjà construites. Enfin, les autres projets autorisés évoqués par les recourants dans leur argumentation au sujet de la proportionnalité, soit les DD 5_____ (parcelles nos 2'558, 2'559 et 2’560), DD 6_____ (parcelle n° 2'599) et DD 7_____ (parcelles nos 8'119 et 8'120), ne sont pas comparables car ils ne se situent pas en bordure de la zone agricole. Leur implantation est prévue à proximité des principaux axes routiers traversant le village (route d’Aïre-la-Ville, chemin des Saules, rue de Bernex) et ils respectent un alignement de fait. On relèvera encore que le premier de ces projets est situé très près d’un bâtiment de grand gabarit (école de Luchepelet) et que le deuxième prévoit un immeuble de typologie similaire aux constructions existantes sur les parcelles contiguës, dont il respecte l'alignement en escalier. Enfin, la commune a exposé que ces projets ne présentaient pas d'enjeux paysagers et ne requéraient pas d’abattre une quantité importante d’arbres. Partant, le grief de violation du principe de proportionnalité doit être écarté s’agissant de l’application de la LRoutes.</w:t>
      </w:r>
    </w:p>
    <w:p>
      <w:r>
        <w:rPr>
          <w:b/>
        </w:rPr>
        <w:t>E. 6.2</w:t>
      </w:r>
    </w:p>
    <w:p>
      <w:r>
        <w:t>Les recourants font ensuite valoir que leur projet de construction respectait les prescriptions imposées par le RCVA, que le PAP, établi par un professionnel, prévoyait des mesures compensatoires adéquates et suffisantes, avec la plantation de 25 arbres dont 20 en pleine terre dont rien ne permettait de retenir qu’ils ne pourraient pas atteindre leur taille adulte. Ils reprochent également à la commune de s’être basée sur des éléments du plan directeur communal qui n’était pas encore en vigueur.</w:t>
      </w:r>
    </w:p>
    <w:p>
      <w:r>
        <w:rPr>
          <w:b/>
        </w:rPr>
        <w:t>E. 6.2.1</w:t>
      </w:r>
    </w:p>
    <w:p>
      <w:r>
        <w:t>Conformément à l’art. 3 LPN,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(al. 1). Ils s’acquittent de ce devoir, notamment, en attachant des charges ou des conditions aux autorisations et aux concessions, ou en refusant celles-ci (al. 2 let. a ; art. 2 let. b). Ce devoir existe quelle que soit l’importance de l’objet au sens de l’art. 4. Une mesure ne doit cependant pas aller au-delà de ce qu’exige la protection de l’objet et de ses environs (al. 3). La loi sur la protection des monuments, de la nature et des sites du 4 juin 1976 (LPMNS - L 4 05) a notamment pour but d'assurer la sauvegarde de la nature, en</w:t>
      </w:r>
    </w:p>
    <w:p>
      <w:r>
        <w:t>- 20/25 - A/2809/2021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w:t>
      </w:r>
    </w:p>
    <w:p>
      <w:r>
        <w:rPr>
          <w:b/>
        </w:rPr>
        <w:t>E. 6.2.2</w:t>
      </w:r>
    </w:p>
    <w:p>
      <w:r>
        <w:t>En application de cette disposition, le Conseil d'État a adopté le RCVA, qui a pour but d'assurer la conservation, à savoir la protection, le maintien et le renouvellement, de la végétation formant les éléments majeurs du paysage (art. 1 RCVA). Il est notamment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L’art. 16 RCVA dispose que le département édicte des directives en matière de sauvegarde des végétaux maintenus, de leur mise en valeur et de l’exécution correcte des mesures compensatoires. Selon les art. 1, 4, 16 et 17 RCVA en lien avec les art. 7, 9 et 10B du règlement d’application de la loi sur les constructions et les installations diverses du 27 février 1978 (RCI - L 5 05.01), un PAP est imposé par l’autorité compétente dans le cas de construction à proximité d’arbres conservés ou de fort impact sur la végétation existante.</w:t>
      </w:r>
    </w:p>
    <w:p>
      <w:r>
        <w:rPr>
          <w:b/>
        </w:rPr>
        <w:t>E. 6.2.3</w:t>
      </w:r>
    </w:p>
    <w:p>
      <w:r>
        <w:t>La directive d'août 2008 concernant la conservation des arbres (ci-après : la directive) précise les règles décisionnelles en matière de conservation du</w:t>
      </w:r>
    </w:p>
    <w:p>
      <w:r>
        <w:t>- 21/25 - A/2809/2021 patrimoine arboré et vise à assurer la protection des arbres en place et simultanément le renouvellement du patrimoine arboré (art. 1 de la directive). La décision de maintenir un arbre est prise lorsque l’intérêt de maintien prime sur les motifs d’abattage. La décision d'abattage est prise seulement si des motifs valables empêchent le maintien de l'arbre (art. 2 de la directive). 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(ATA/552/2013 du 27 août 2013 consid. 4d).</w:t>
      </w:r>
    </w:p>
    <w:p>
      <w:r>
        <w:rPr>
          <w:b/>
        </w:rPr>
        <w:t>E. 6.2.4</w:t>
      </w:r>
    </w:p>
    <w:p>
      <w:r>
        <w:t>En l'espèce, l'OCAN, instance compétente dans ce domaine et qui est le mieux à même de prendre en considération tous les paramètres spécifiques, s'est déclaré défavorable au projet. Il a souligné que ce dernier prévoyait l'abattage d'une quantité importante d'arbres présentant une bonne qualité sanitaire et que la suppression de ces végétaux impliquait un fort impact sur l'image paysagère environnante (préavis du 12 décembre 2019), et que le projet de replantation prévu selon le PAP du 13 novembre 2020 ne permettrait pas aux arbres d'atteindre leur taille adulte (préavis du 7 janvier 2021). De plus, la commune a expliqué que le projet, en raison des arbres à abattre, sacrifiait un jardin, qu’elle a qualifié de « pièce maîtresse de la valeur paysagère, patrimoniale et structurante du quartier » (préavis du 17 décembre 2020). À l’instar du TAPI, la chambre de céans constate que les recourants ne font pas valoir d’arguments propres à démontrer que l'analyse de l'OCAN aurait été effectuée de manière irrégulière ou qu’elle serait fondée sur des considérations arbitraires ou étrangères au but poursuivi par le RCVA. Contrairement à ce qu’ils soutiennent, les documents sur lesquels le département s’est basé expliquent les</w:t>
      </w:r>
    </w:p>
    <w:p>
      <w:r>
        <w:t>- 22/25 - A/2809/2021 raisons pour lesquelles une absence de compensation effective possible a été retenue. Il ressort en effet du préavis de la commune que l’ampleur du parking en sous-sol et les 20 à 30 cm de remblai prévu sur sa dalle réduisaient presque à néant la surface en pleine terre, et donc les possibilités de plantation. Elle a observé que des arbustes étaient prévus à la place d’arbres majeurs et que leur croissance serait limitée. Ils ne pourraient pas permettre de reconstituer l’équivalent des sujets existants, même dans 50 ans. Le département, en suivant les préavis de la commune et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Dans ces conditions, le grief de violation du principe de proportionnalité doit également être écarté concernant l’application de l’art. 3 al. 2 LPN et des prescriptions du RCVA.</w:t>
      </w:r>
    </w:p>
    <w:p>
      <w:r>
        <w:rPr>
          <w:b/>
        </w:rPr>
        <w:t>E. 7</w:t>
      </w:r>
    </w:p>
    <w:p>
      <w:r>
        <w:t>Enfin, les recourants allèguent une violation du principe d'égalité de traitement dans la mesure où de multiples bâtiments voisins dérogeaient à la distance limite de 15 m applicable dans des conditions tout à fait similaires à leur projet. Ainsi, la cabine SIG n° 3_____ était implantée à moins de 5 m de l'axe du chemin de la Naz, le bâtiment n° 9_____ se trouvait à environ 8 m de l'axe du chemin et le bâtiment n° 4_____ était implanté à une distance d’environ 10 m. La distance minimale ne semblait pas non plus être respectée pour le bâtiment n° 8_____, localisé sur la parcelle n° 2'800, étant encore relevé que certains de ces projets avaient été autorisés très récemment, le dernier en août 2022. Le TAPI avait exclu l’existence d’une situation « identique », mais le principe d’égalité de traitement trouvait son application dans des situations similaires déjà.</w:t>
      </w:r>
    </w:p>
    <w:p>
      <w:r>
        <w:rPr>
          <w:b/>
        </w:rPr>
        <w:t>E. 7.1</w:t>
      </w:r>
    </w:p>
    <w:p>
      <w:r>
        <w:t>La protection contre l'arbitraire et celle de l'égalité de traitement (art. 8 Cst.) sont étroitement liées. Une décision est arbitraire (art. 9 Cst.), lorsqu'elle contredit clairement la situation de fait, viole gravement une norme ou un principe juridique clair et indiscuté, heurte d'une manière choquante le sentiment de la justice et de l'équité, ne repose pas sur des motifs sérieux et objectifs ou n'a ni sens ni but.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w:t>
      </w:r>
    </w:p>
    <w:p>
      <w:r>
        <w:t>- 23/25 - A/2809/2021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w:t>
      </w:r>
    </w:p>
    <w:p>
      <w:r>
        <w:rPr>
          <w:b/>
        </w:rPr>
        <w:t>E. 7.2</w:t>
      </w:r>
    </w:p>
    <w:p>
      <w:r>
        <w:t>En l'espèce, les bâtiments auxquels se réfèrent les recourants ne se trouvent pas dans une situation similaire à celle du projet litigieux. Les bâtiments n° 4_____ et 8_____ sont des habitations à un seul logement et de dimensions bien plus modestes que celle du projet litigieux. Le bâtiment n° 3_____ est une cabine SIG, soit un établissement de droit public SIG, d’un tout autre gabarit. Enfin, le bâtiment n° 9_____, sis sur la parcelle n° 2'796, soit l’une de celles comprises dans le projet, est un immeuble villageois, mais il a été construit entre 1961 et 1970 selon les informations publiées sur le site SITG et il ne fait pas front à d’autres habitations. Il ne se trouve pas non plus sur le même tronçon du chemin de la Naz que le projet des recourants et n'impacte pas le même contexte paysager et urbain. Ainsi, la situation des bâtiments évoqués par les recourants diffère nettement de celle du projet litigieux. Partant, le grief de violation du principe d'égalité de traitement doit être écarté. En tous points infondé, le recours doit être rejeté.</w:t>
      </w:r>
    </w:p>
    <w:p>
      <w:r>
        <w:rPr>
          <w:b/>
        </w:rPr>
        <w:t>E. 8</w:t>
      </w:r>
    </w:p>
    <w:p>
      <w:r>
        <w:t>Vu l’issue du litige, un émolument de CHF 1'500.- sera mis à la charge conjointe des recourants (art. 87 al. 1 LPA). Aucune indemnité de procédure ne sera allouée à la commune et aux habitants voisins, qui n’y concluent pas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