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ATA/486/2013 vom 30. Juli 2013</w:t>
      </w:r>
    </w:p>
    <w:p>
      <w:r>
        <w:t>GE Cour de justice, 2013-07-30, FR</w:t>
      </w:r>
    </w:p>
    <w:p>
      <w:r>
        <w:rPr>
          <w:b/>
        </w:rPr>
        <w:t xml:space="preserve">Quelle: </w:t>
      </w:r>
      <w:r>
        <w:t>https://mcp.opencaselaw.ch/entscheid/ge_gerichte_ATA_486_2013</w:t>
      </w:r>
    </w:p>
    <w:p>
      <w:r>
        <w:t>FR: GE_GERICHTE ATA/486/2013 du 30 juillet 2013</w:t>
      </w:r>
    </w:p>
    <w:p>
      <w:r>
        <w:t>IT: GE_GERICHTE ATA/486/2013 del 30 luglio 2013</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dispose, dans sa teneur postérieure au 1er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w:t>
      </w:r>
    </w:p>
    <w:p>
      <w:r>
        <w:t>Selon l’art. 23 al. 2 de l’ordonnance relative à l'admission, au séjour et à l'exercice d'une activité lucrative du 24 octobre 2007 dans sa teneur en janvier 2011 (aOASA - RS 142.201), les qualifications personnelles sont suffisantes au</w:t>
      </w:r>
    </w:p>
    <w:p>
      <w:r>
        <w:t>- 5/8 - A/1543/2011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jurisprudence citée).</w:t>
      </w:r>
    </w:p>
    <w:p>
      <w:r>
        <w:rPr>
          <w:b/>
        </w:rPr>
        <w:t>E. 4</w:t>
      </w:r>
    </w:p>
    <w:p>
      <w:r>
        <w:t>L’autorité cantonale compétente dispose d’un large pouvoir d’appréciation, l’étranger ne bénéficiant pas d’un droit de séjour en Suisse fondé sur l’art. 27 LEtr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5</w:t>
      </w:r>
    </w:p>
    <w:p>
      <w:r>
        <w:t>En l'espèce, le recourant est arrivé en Suisse en 2005 pour y suivre les cours d’une école hôtelière, puis a dû changer d'établissement du fait de la faillite du premier d'entre eux. Malgré ces circonstances, il a obtenu, dans le nouvel établissement, le diplôme qu'il désirait et a commencé à suivre une formation menant à l'obtention d'une maitrise dans le même domaine. Il a alors interrompu sa formation, changé de canton et s’est inscrit dans une école d’informatique pour suivre à Genève durant trois ans des nouvelles études, qui devraient se terminer en 2014. Dans ces circonstances, l’OCP pouvait sans arbitraire considérer que le but du séjour du recourant en Suisse pour études était atteint et que des éléments existaient permettant de considérer que le perfectionnement invoqué visait uniquement à éluder les dispositions légales générales sur le séjour et l’établissement des étrangers (art. 27 al. 1 let. d LEtr). C’est conformément au droit que le TAPI a confirmé la position de l’autorité intimée.</w:t>
      </w:r>
    </w:p>
    <w:p>
      <w:r>
        <w:rPr>
          <w:b/>
        </w:rPr>
        <w:t>E. 6</w:t>
      </w:r>
    </w:p>
    <w:p>
      <w:r>
        <w:t>Le recourant ne se voyant pas reconnaître les qualités personnelles donnant droit à une prolongation de son permis pour études, point n’est besoin de traiter la façon dont sa situation financière a été traitée par les instances inférieures.</w:t>
      </w:r>
    </w:p>
    <w:p>
      <w:r>
        <w:rPr>
          <w:b/>
        </w:rPr>
        <w:t>E. 7</w:t>
      </w:r>
    </w:p>
    <w:p>
      <w:r>
        <w:t>Selon l’art. 64 al. 1 let. c LEtr, les autorités compétentes rendent une décision de renvoi ordinaire à l’encontre d’un étranger auquel l’autorisation de séjour est refusée ou dont l’autorisation n’est pas prolongée.</w:t>
      </w:r>
    </w:p>
    <w:p>
      <w:r>
        <w:t>- 6/8 - A/1543/2011</w:t>
      </w:r>
    </w:p>
    <w:p>
      <w:r>
        <w:t>Le recourant n’a jamais allégué que son retour dans son pays d’origine serait impossible, illicite ou inexigible au regard de l’art. 83 LEtr, et le dossier ne laisse pas apparaître d'éléments qui tendraient à démontrer le contraire. La décision de renvoi, conséquence du refus d’une prolongation de l’autorisation de séjour, doit également être confirmée.</w:t>
      </w:r>
    </w:p>
    <w:p>
      <w:r>
        <w:rPr>
          <w:b/>
        </w:rPr>
        <w:t>E. 8</w:t>
      </w:r>
    </w:p>
    <w:p>
      <w:r>
        <w:t>Mal fondé, le recours sera rejeté. 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