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ATA/485/2013 vom 30. Juli 2013</w:t>
      </w:r>
    </w:p>
    <w:p>
      <w:r>
        <w:t>GE Cour de justice, 2013-07-30, FR</w:t>
      </w:r>
    </w:p>
    <w:p>
      <w:r>
        <w:rPr>
          <w:b/>
        </w:rPr>
        <w:t xml:space="preserve">Quelle: </w:t>
      </w:r>
      <w:r>
        <w:t>https://mcp.opencaselaw.ch/entscheid/ge_gerichte_ATA_485_2013</w:t>
      </w:r>
    </w:p>
    <w:p>
      <w:r>
        <w:t>FR: GE_GERICHTE ATA/485/2013 du 30 juillet 2013</w:t>
      </w:r>
    </w:p>
    <w:p>
      <w:r>
        <w:t>IT: GE_GERICHTE ATA/485/2013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la reprise dans le bénéfice imposable ICC et IFD 2006 de la société d’une partie des salaires versés à MM. R______ et N______ S______, au titre de bénéfice dissimulé.</w:t>
      </w:r>
    </w:p>
    <w:p>
      <w:r>
        <w:rPr>
          <w:b/>
        </w:rPr>
        <w:t>E. 3</w:t>
      </w:r>
    </w:p>
    <w:p>
      <w:r>
        <w:t>a. L’art. 57 de la loi fédérale sur l’impôt fédéral direct du 14 décembre 1990 (LIFD - RS 642.11) prévoit que l’impôt sur le bénéfice a pour objet le bénéfice net.</w:t>
      </w:r>
    </w:p>
    <w:p>
      <w:r>
        <w:t>- 6/11 - A/945/2011</w:t>
      </w:r>
    </w:p>
    <w:p>
      <w:r>
        <w:t>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w:t>
      </w:r>
    </w:p>
    <w:p>
      <w:r>
        <w:t>c. Bien qu’elles ne le mentionnent pas expressément, les deux dispositions précitées visent notamment les distributions dissimulées de bénéfice (S. KUHN/ P. BRÜLISAUER in M. ZWEIFEL/P. ATHANAS, Kommentar zum schweizerischen Steuerrecht, I/1, Bundesgesetz über die Harmonisierung des direkten Steuern der Kantone und Gemeinden (StHG), 2ème éd., n. 74 ad. art. 24 p. 406), soit des prélèvements qui ne sont pas conformes à l'usage commercial et qui doivent donc être réintégrés dans le bénéfice imposable. L’art. 12 let. h LIPM est conforme à l’art. 58 al. 1 let. b LIFD quand bien même il est rédigé différemment (ATA/633/2011 du 11 octobre 2011 ; ATA/152/2011 du 8 mars 2011).</w:t>
      </w:r>
    </w:p>
    <w:p>
      <w:r>
        <w:rPr>
          <w:b/>
        </w:rPr>
        <w:t>E. 4</w:t>
      </w:r>
    </w:p>
    <w:p>
      <w:r>
        <w:t>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ladite prestation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 OBERSON, Droit fiscal suisse, 4e éd., 2012, p. 236 n. 41 et les références citées). Selon la jurisprudence, il ne s’agit pas d’examiner si les parties ont reconnu la disproportion, mais plutôt si elles devaient la reconnaître (E. MELLER/J. SALOM, Le salaire excessif en droit fiscal suisse, RDAF 2011 II, p. 105, 110 et les références citées).</w:t>
      </w:r>
    </w:p>
    <w:p>
      <w:r>
        <w:t>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w:t>
      </w:r>
    </w:p>
    <w:p>
      <w:r>
        <w:t>- 7/11 - A/945/2011 l’octroi d’une prestation insolite (Arrêts du Tribunal fédéral 2C_275/2010 du 24 août 2010 et 2A.355/2004 du 20 juin 2005).</w:t>
      </w:r>
    </w:p>
    <w:p>
      <w:r>
        <w:t>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 OBERSON, op. cit., p. 236 n. 42).</w:t>
      </w:r>
    </w:p>
    <w:p>
      <w:r>
        <w:t>d. En présence d’une prestation appréciable en argent, les conséquences fiscales sont multiples. Au niveau de la société, l’autorité fiscale réintégrera la prestation dans les bénéfices imposables de celle-ci (X. OBERSON, op. cit., p. 197 n. 35).</w:t>
      </w:r>
    </w:p>
    <w:p>
      <w:r>
        <w:rPr>
          <w:b/>
        </w:rPr>
        <w:t>E. 5</w:t>
      </w:r>
    </w:p>
    <w:p>
      <w:r>
        <w:t>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 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w:t>
      </w:r>
    </w:p>
    <w:p>
      <w:r>
        <w:rPr>
          <w:b/>
        </w:rPr>
        <w:t>E. 6</w:t>
      </w:r>
    </w:p>
    <w:p>
      <w:r>
        <w:t>Les considérations doctrinales qui précèdent ne sauraient toutefois occulter que la jurisprudence retient comme potentiels bénéficiaires non seulement les actionnaires d’une société, mais également toutes les personnes qui les touchent de près (ATF 131 II 593 consid. 5.1 ; Arrêt du Tribunal fédéral 2C_645/2012 du 13 février 2013 consid. 3.1), et que selon la théorie dite du triangle, une prestation appréciable en argent faite par une société directement à un tiers proche de son actionnaire doit ainsi être traitée comme si elle avait été octroyée à ce dernier (ATF 138 II 57 consid. 4.2 ; 131 I 722 consid. 4.1 ; Arrêt du Tribunal fédéral 2C_610/2012 du 1er février 2013 consid. 8.1, dans lequel l'amie de l'actionnaire a été considérée comme un proche de ce dernier et la prestation appréciable en argent admise).</w:t>
      </w:r>
    </w:p>
    <w:p>
      <w:r>
        <w:t>- 8/11 - A/945/2011</w:t>
      </w:r>
    </w:p>
    <w:p>
      <w:r>
        <w:rPr>
          <w:b/>
        </w:rPr>
        <w:t>E. 7</w:t>
      </w:r>
    </w:p>
    <w:p>
      <w:r>
        <w:t>La recourante estime que l’entier de la rémunération de M. N______ S______ qu’elle a comptabilisé doit être admis comme charge aux motifs que celui-ci n'était pas actionnaire.</w:t>
      </w:r>
    </w:p>
    <w:p>
      <w:r>
        <w:t>Or à l'évidence, M. N______ S______, qui est le fils de M. R______ S______, actionnaire principal de la société, est un proche de ce dernier, si bien que le grief doit être écarté.</w:t>
      </w:r>
    </w:p>
    <w:p>
      <w:r>
        <w:rPr>
          <w:b/>
        </w:rPr>
        <w:t>E. 8</w:t>
      </w:r>
    </w:p>
    <w:p>
      <w:r>
        <w:t>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 MELLER/ 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w:t>
      </w:r>
    </w:p>
    <w:p>
      <w:r>
        <w:rPr>
          <w:b/>
        </w:rPr>
        <w:t>E. 9</w:t>
      </w:r>
    </w:p>
    <w:p>
      <w:r>
        <w:t>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 MELLER/J. SALOM, op. cit., p. 118).</w:t>
      </w:r>
    </w:p>
    <w:p>
      <w:r>
        <w:t>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w:t>
      </w:r>
    </w:p>
    <w:p>
      <w:r>
        <w:t>- 9/11 - A/945/2011 dans la bonne marche de l’entreprise et, pour une part au moins, leur activité en qualité d’apporteurs d’affaires.</w:t>
      </w:r>
    </w:p>
    <w:p>
      <w:r>
        <w:t>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ATA/170/2012 du 27 mars 2012 ; ATA/777/2010 du 9 novembre 2010 ; E. MELLER/J. SALOM, op. cit., p. 118).</w:t>
      </w:r>
    </w:p>
    <w:p>
      <w:r>
        <w:t>c. Le Tribunal fédéral a pour sa part confirmé son application dans la mesure où elle a conduit à un résultat exempt d’arbitraire, adapté aux circonstances du cas d’espèce (Arrêts du Tribunal fédéral 2C_421/2009 précité ; 2C_188/2008 précité). La méthode « valaisanne » a reçu l’aval de l’AFC-CH et son application a été entérinée par la jurisprudence cantonale (ATA/125/2013 du 26 février 2013 ; ATA/25/2013 du 15 janvier 2013 ; ATA/170/2012 précité et les références citées).</w:t>
      </w:r>
    </w:p>
    <w:p>
      <w:r>
        <w:rPr>
          <w:b/>
        </w:rPr>
        <w:t>E. 10</w:t>
      </w:r>
    </w:p>
    <w:p>
      <w:r>
        <w:t>La juridiction de céans a admis, dans le cadre du calcul du salaire qualifié d’excessif selon la méthode «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(ATA/674/2011 du 1er novembre 2011 ; ATA/777/2010 précité). En outre, le recours à un tel instrument aboutissait à établir un salaire fixé au maximum de la fourchette des rémunérations possibles (ATA/25/2013 précité).</w:t>
      </w:r>
    </w:p>
    <w:p>
      <w:r>
        <w:t>Cet instrument a enfin déjà été appliqué par la chambre de céans à une société de gestion de fortune (ATA/125/2013 précité).</w:t>
      </w:r>
    </w:p>
    <w:p>
      <w:r>
        <w:rPr>
          <w:b/>
        </w:rPr>
        <w:t>E. 11</w:t>
      </w:r>
    </w:p>
    <w:p>
      <w:r>
        <w:t>Pour le calcul des salaires admissibles, la recourante invoque que la part variable de la rémunération ne doit pas entrer en considération car elle serait fonction de la rentabilité des dossiers et des apports respectifs de chaque gestionnaire.</w:t>
      </w:r>
    </w:p>
    <w:p>
      <w:r>
        <w:t>Un tel argument se heurte lui aussi aux conditions posées par la jurisprudence à la reconnaissance d'une prestation appréciable en argent, ainsi qu'à la ratio legis des règles sur la distribution cachée de bénéfices : il s'agit en effet de savoir si une prestation – quelle qu'elle soit – est retenue à titre de charge alors qu'elle n'est pas justifiée par l'usage commercial, et qu'elle doit dès lors être réintégrée fiscalement dans le montant du bénéfice. Il ne saurait ainsi être question d'exclure la rémunération variable – qui figure du reste elle aussi sur le certificat de salaire et est soumise à l'impôt sur le revenu pour le collaborateur concerné –</w:t>
      </w:r>
    </w:p>
    <w:p>
      <w:r>
        <w:t>- 10/11 - A/945/2011 du champ des prestations visées, sous peine de ne plus se trouver en adéquation avec le but visé et d'encourager les distributions dissimulées de bénéfices par le biais de diverses formes de rémunérations variables.</w:t>
      </w:r>
    </w:p>
    <w:p>
      <w:r>
        <w:rPr>
          <w:b/>
        </w:rPr>
        <w:t>E. 12</w:t>
      </w:r>
    </w:p>
    <w:p>
      <w:r>
        <w:t>En l’espèce, le TAPI a déterminé les salaires de MM. R______ et N______ S______ en tenant compte de leur âge, de leur cahier des charges et de leur position de cadre supérieur définissant la stratégie de l’entreprise. Il a en outre pris en compte que MM. R______ et N______ S______ avaient travaillé soixante heures par semaine. En se fondant sur les circonstances du cas d’espèce, et en opérant à nouveau tous les calculs, il a ainsi respecté les critères posés par la jurisprudence en matière d’utilisation de statistiques pour déterminer le salaire de base.</w:t>
      </w:r>
    </w:p>
    <w:p>
      <w:r>
        <w:rPr>
          <w:b/>
        </w:rPr>
        <w:t>E. 13</w:t>
      </w:r>
    </w:p>
    <w:p>
      <w:r>
        <w:t>Tout comme le TAPI, la chambre de céans estime qu'il n'y a pas lieu de procéder en l'occurrence à une reformatio in pejus vu le peu de différence entre les calculs opérés par l'AFC-GE et par le TAPI.</w:t>
      </w:r>
    </w:p>
    <w:p>
      <w:r>
        <w:rPr>
          <w:b/>
        </w:rPr>
        <w:t>E. 14</w:t>
      </w:r>
    </w:p>
    <w:p>
      <w:r>
        <w:t>Les conditions de la dissimulation de bénéfice sont dès lors réalisées. L’AFC-GE était fondée à retenir des salaires excessifs de CHF 591'990.- et à réintégrer ceux-ci dans le bénéfice imposable de la société.</w:t>
      </w:r>
    </w:p>
    <w:p>
      <w:r>
        <w:rPr>
          <w:b/>
        </w:rPr>
        <w:t>E. 15</w:t>
      </w:r>
    </w:p>
    <w:p>
      <w:r>
        <w:t>En conséquence, le recours sera rejeté. Un émolument de CHF 2’000.- sera mis à la charge de la recourante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