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ATA/485/2012 vom 31. Juli 2012</w:t>
      </w:r>
    </w:p>
    <w:p>
      <w:r>
        <w:t>GE Cour de justice, 2012-07-31, FR</w:t>
      </w:r>
    </w:p>
    <w:p>
      <w:r>
        <w:rPr>
          <w:b/>
        </w:rPr>
        <w:t xml:space="preserve">Quelle: </w:t>
      </w:r>
      <w:r>
        <w:t>https://mcp.opencaselaw.ch/entscheid/ge_gerichte_ATA_485_2012</w:t>
      </w:r>
    </w:p>
    <w:p>
      <w:r>
        <w:t>FR: GE_GERICHTE ATA/485/2012 du 31 juillet 2012</w:t>
      </w:r>
    </w:p>
    <w:p>
      <w:r>
        <w:t>IT: GE_GERICHTE ATA/485/2012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w:t>
      </w:r>
    </w:p>
    <w:p>
      <w:r>
        <w:t>- 4/8 - A/178/2010 sens et dans les limites admises par le droit fédéral et cantonal en matière de prévoyance (3ème pilier A), selon l’art. 23 LISP.</w:t>
      </w:r>
    </w:p>
    <w:p>
      <w:r>
        <w:rPr>
          <w:b/>
        </w:rPr>
        <w:t>E. 3</w:t>
      </w:r>
    </w:p>
    <w:p>
      <w:r>
        <w:t>A teneur de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du 21 décembre 2010 pour admettre que la réclamation du contribuable n’était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- 5/8 - A/178/2010</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 contribuable a déposé sa réclamation le 11 avril 2009 en sollicitant la déduction d'une somme dont il avait eu connaissance durant l’année 2008, l’attestation de l’institution de prévoyance ayant été établie, selon le document produit à l’appui de la réclamation, au courant du mois de janvier 2009.</w:t>
      </w:r>
    </w:p>
    <w:p>
      <w:r>
        <w:t>L’intéressé a admis avoir agi tardivement, soit en l’occurrence au-delà du délai fixé au 31 mars 2009 (art. 137 LIFD) parce qu'il avait été bouleversé par des événements familiaux et financiers.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w:t>
      </w:r>
    </w:p>
    <w:p>
      <w:r>
        <w:t>- 6/8 - A/178/2010 force obligatoire (ATA/779/2011 du 20 décembre 2011 ; ATA/547/2011 du 30 août 2011 ; ATA/712/2010 du 19 octobre 2010 et les références citées).</w:t>
      </w:r>
    </w:p>
    <w:p>
      <w:r>
        <w:t>Seul le recourant était en possession de l'attestation de ses versements à une institution de prévoyance liée et en mesure de transmettre ces documents en temps utile. Ni l’employeur, ni l’AFC, ne pouvaient connaître l’existence de ces versements du contribuable qui aurait justifié une diminution de l’impôt à la source.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était tardive.</w:t>
      </w:r>
    </w:p>
    <w:p>
      <w:r>
        <w:rPr>
          <w:b/>
        </w:rPr>
        <w:t>E. 7</w:t>
      </w:r>
    </w:p>
    <w:p>
      <w:r>
        <w:t>Il convient dès lors d'examiner si un cas de force majeure permettait au contribuable de justifier l'inobservation du délai.</w:t>
      </w:r>
    </w:p>
    <w:p>
      <w:r>
        <w:t>Selon l'art. 41 al. 3 de la loi de procédure fiscale du 4 octobre 2001 (LPFisc - D 3 17 - applicable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YERSIN/Y. NOËL, Commentaire de la loi sur l'impôt fédéral direct, Bâle 2007, ad art. 133, n. 14 et 15, p. 1283).</w:t>
      </w:r>
    </w:p>
    <w:p>
      <w:r>
        <w:t>- 7/8 - A/178/2010</w:t>
      </w:r>
    </w:p>
    <w:p>
      <w:r>
        <w:t>Pour établir l'existence d'un cas de force majeure, le fardeau de la preuve incombe à l'assujetti (ATA/50/2009 du 28 janvier 2009 et les réf. citées ; M. DUSS, op. cit., p. 102). La maladie n'est admise comme motif d'excuse que si elle empêche le contribuable d'agir par lui-même ou de donner à un tiers les instructions nécessaires pour agir à sa place (ATA/587/2009 du 10 novembre 2009 ; H. MASSHARDT/GENDRE, Commentaire IDN, 1980, p. 418 ; M. DUSS, Verfahrensrecht in Steuersachen, Winterthur 1987, p. 102).</w:t>
      </w:r>
    </w:p>
    <w:p>
      <w:r>
        <w:t>Le contribuable fait certes état d'une situation familiale difficile, mais il ne fournit aucune précision ni justificatif permettant de retenir l'existence de difficultés à ce point impérieuses qu’elles l’auraient empêché de remettre à un office de poste le 31 mars 2009 au plus tard - qui était un mardi ouvrable - le courrier contenant l'attestation en cause.</w:t>
      </w:r>
    </w:p>
    <w:p>
      <w:r>
        <w:rPr>
          <w:b/>
        </w:rPr>
        <w:t>E. 8</w:t>
      </w:r>
    </w:p>
    <w:p>
      <w:r>
        <w:t>Au vu de ce qui précède, le recours de l'AFC sera admis, le jugement du TAPI annulé et la décision sur réclamation prise par l’AFC le 17 décembre 2009 rétablie. Un émolument de CHF 500.- sera mis à la charge de l’intimé,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