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ATA/484/2020 vom 19. Mai 2020</w:t>
      </w:r>
    </w:p>
    <w:p>
      <w:r>
        <w:t>GE Cour de justice, 2020-05-19, FR</w:t>
      </w:r>
    </w:p>
    <w:p>
      <w:r>
        <w:rPr>
          <w:b/>
        </w:rPr>
        <w:t xml:space="preserve">Quelle: </w:t>
      </w:r>
      <w:r>
        <w:t>https://mcp.opencaselaw.ch/entscheid/ge_gerichte_ATA_484_2020</w:t>
      </w:r>
    </w:p>
    <w:p>
      <w:r>
        <w:t>FR: GE_GERICHTE ATA/484/2020 du 19 mai 2020</w:t>
      </w:r>
    </w:p>
    <w:p>
      <w:r>
        <w:t>IT: GE_GERICHTE ATA/484/2020 del 19 maggio 2020</w:t>
      </w:r>
    </w:p>
    <w:p>
      <w:pPr>
        <w:pStyle w:val="Heading2"/>
      </w:pPr>
      <w:r>
        <w:t>Erwägungen</w:t>
      </w:r>
    </w:p>
    <w:p>
      <w:r>
        <w:rPr>
          <w:b/>
        </w:rPr>
        <w:t>E. 12</w:t>
      </w:r>
    </w:p>
    <w:p>
      <w:r>
        <w:t>septembre 1985 - LPA - E 5 10). 2)</w:t>
      </w:r>
    </w:p>
    <w:p>
      <w:r>
        <w:t>Le recourant conclut préalablement à son audition et à celle de l’enquêteur ainsi qu’à la production des rapports évoqués par l’hospice.</w:t>
      </w:r>
    </w:p>
    <w:p>
      <w:r>
        <w:t>a. 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w:t>
      </w:r>
    </w:p>
    <w:p>
      <w:r>
        <w:t>- 6/12 - A/324/2020</w:t>
      </w:r>
    </w:p>
    <w:p>
      <w:r>
        <w:t>Cela n’implique pas une audition personnelle de l’intéressé, celui-ci devant simplement disposer d’une occasion de se déterminer sur les éléments propres à influer sur l’issue de la cause (art. 41 LPA ; ATF 140 I 68 consid. 9.6).</w:t>
      </w:r>
    </w:p>
    <w:p>
      <w:r>
        <w:t>Tel qu’il est garanti par l’art. 29 al. 2 Cst.,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w:t>
      </w:r>
    </w:p>
    <w:p>
      <w:r>
        <w:t>b. En l’espèce, le recourant a pu exposer son argumentation dans le cadre de son recours, puis de sa réplique. Il a pu produire toutes les pièces pertinentes. L’audition de l’enquêteur, dont les deux rapports ont été versés à la procédure, ne modifiera pas l’issue du litige, le recourant ne contestant pas les constats effectuées (absence lors des passages ; constats d’affaires dans les deux domiciles concernés notamment). La référence au voisinage faite dans un rapport est sans pertinence pour l’issue du litige, à l’instar de la production des rapports mentionnés par l’hospice comme étant à disposition de la chambre de céans. Il n’est pas nécessaire d’en solliciter la production, s’agissant de documents ayant trait à une tierce personne, lesquels ne sont pas déterminants pour l’issue du présent litige. Le dossier étant complet et en état d’être jugé, il ne sera pas donné suite aux requêtes du recourant. 3)</w:t>
      </w:r>
    </w:p>
    <w:p>
      <w:r>
        <w:t>Le litige porte sur la réduction du forfait d’entretien à hauteur du barème de l’aide financière exceptionnelle et la suppression de toutes les prestations circonstancielles, à l’exception des éventuelles participations aux frais médicaux et dentaires, pendant six mois à compter du 1er novembre 2019 en raison du fait que le recourant aurait caché son lieu de résidence effective. 4) a. La LIASI a pour but de prévenir l'exclusion sociale et d'aider les personnes qui en souffrent à se réinsérer dans un environnement social et professionnel (art. 1 al. 1). Ont droit aux prestations d'aide financière les personnes dont le</w:t>
      </w:r>
    </w:p>
    <w:p>
      <w:r>
        <w:t>- 7/12 - A/324/2020 revenu mensuel déterminant n'atteint pas le montant destiné à la couverture des besoins de base et dont la fortune ne dépasse pas les limites fixées par règlement du Conseil d'État (art. 21 al. 1 LIASI). Pour une personne majeure, cette limite est de CHF 4'000.- (art. 1 al. 1 let. a du règlement d'exécution de la loi sur l'insertion et l'aide sociale individuelle du 25 juillet 2007 - RIASI - J 4 04.01).</w:t>
      </w:r>
    </w:p>
    <w:p>
      <w:r>
        <w:t>b. À teneur de l'art. 11 al. 1 LIASI, ont droit à des prestations d'aide financière prévues par cette loi, les personnes qui : ont leur domicile et leur résidence effective sur le territoire du canton de Genève (let. a), ne sont pas en mesure de subvenir à leur entretien (let. b) et répondent aux autres conditions de la loi (let. c).</w:t>
      </w:r>
    </w:p>
    <w:p>
      <w:r>
        <w:t>Il s'agit de l'aide financière ordinaire. Les trois conditions à remplir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(ATA/1662/2019 du 12 novembre 2019 consid. 6a ; ATA/817/2019 du 25 avril 2019 consid. 3b).</w:t>
      </w:r>
    </w:p>
    <w:p>
      <w:r>
        <w:t>La notion de domicile est, en droit suisse, celle des art. 23 et 24 du Code civil suisse du 10 décembre 1907 (CC - RS 210), soit le lieu où une personne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w:t>
      </w:r>
    </w:p>
    <w:p>
      <w:r>
        <w:t>- 8/12 - A/324/2020 consid. 3.1 et les arrêts cités ; arrêt du Tribunal fédéral 5A.398/2007 précité consid. 3.2).</w:t>
      </w:r>
    </w:p>
    <w:p>
      <w:r>
        <w:t>c. Le bénéficiaire est tenu de fournir tous les renseignements nécessaires pour établir son droit et fixer le montant des prestations d'aide financière. Il doit se soumettre à une enquête de l'hospice lorsque celui-ci le demande (art. 32 al. 1 et 3 LIASI). De même, il doit immédiatement déclarer à l'hospice tout fait nouveau de nature à entraîner une modification du montant des prestations qui lui sont allouées (art. 33 al. 1 LIASI). Le document intitulé « Mon engagement » concrétise cette obligation de collaborer en exigeant du demandeur qu'il donne immédiatement et spontanément à l'hospice tout renseignement et toute pièce nécessaires à l'établissement de sa situation économique (ATA/1662/2019 précité consid. 5b ; ATA/817/2019 précité consid. 3c).</w:t>
      </w:r>
    </w:p>
    <w:p>
      <w:r>
        <w:t>d. L'art. 35 LIASI décrit six cas dans lesquels les prestations d'aide financière peuvent être réduites, suspendues, refusées ou supprimées.</w:t>
      </w:r>
    </w:p>
    <w:p>
      <w:r>
        <w:t>Tel est notamment le cas lorsque le bénéficiaire ne répond pas ou cesse de répondre aux conditions de la loi (art. 35 al. 1 let. a LIASI) ou lorsqu'il ne s'acquitte pas intentionnellement de son obligation de collaborer telle que prescrite par l'art. 32 LIASI (art. 35 al. 1 let. c LIASI) ou qu'il refuse de donner les informations requises au sens des art. 7 et 32 LIASI, donne des indications fausses ou incomplètes ou cache des informations utiles (art. 35 al. 1 let. d LIASI). 5) a. En l'espèce, sur le formulaire de demande des prestations d'aide financière, rempli en 2012, le recourant a indiqué loger chez M. B______ au 1______, avenue C______ à D______.</w:t>
      </w:r>
    </w:p>
    <w:p>
      <w:r>
        <w:t>Il n’a pas contesté les allégations de l’hospice selon lesquelles, lors de différents entretiens avec son assistante sociale entre 2012 et 2019, il a persisté à affirmer être domicilié à l’adresse susmentionnée. Il le soutient d’ailleurs toujours.</w:t>
      </w:r>
    </w:p>
    <w:p>
      <w:r>
        <w:t>Il ressort toutefois du premier rapport de « contrôle terrain » datant du 6 juin 2019 qu'un enquêteur s'est rendu à l'appartement de M. A______ à trois reprises. Sur la boîte aux lettres, le nom du recourant y figurait, à l’instar de celui de sa mère. Le recourant n’était toutefois présent dans l’appartement à aucune de ces trois visites. Lors de la dernière visite, c’est la mère de l’intéressé qui a ouvert. Selon le rapport, elle aurait indiqué que son fils ne vivait pas à ce domicile. Ainsi, la présence du recourant à l'appartement n'a pas pu être attestée lors des différents contrôles. Le rapport laisse plutôt penser que le véritable occupant de cet appartement, aux côtés de M. B______, était la mère du recourant.</w:t>
      </w:r>
    </w:p>
    <w:p>
      <w:r>
        <w:t>Par ailleurs, la visite effectuée le même jour par l’inspecteur au domicile de la mère a confirmé la présence d’habits masculins et d’affaires appartenant au recourant dans l’appartement de la rue F______ n° 2______. Le recourant soutient</w:t>
      </w:r>
    </w:p>
    <w:p>
      <w:r>
        <w:t>- 9/12 - A/324/2020 que les habits prétendument masculins peuvent être portés par des femmes ou être unisexes. Cet argument ne convainc pas, d’autant moins que l’appartement contenait en outre de nombreux documents au nom du recourant. La comparaison entre les deux lieux de vie le 6 juin 2019 rattache le centre des intérêts du recourant à l’appartement de la rue F______ n° 2______ et non à celui sis 1______, avenue C______ à D______.</w:t>
      </w:r>
    </w:p>
    <w:p>
      <w:r>
        <w:t>Par ailleurs, lors du second contrôle terrain, le 18 septembre 2019, le recourant a concédé à l’enquêteur qu’il n’habitait pas au domicile de D______, mais avoir habité seul dans l’appartement de sa mère aux Pâquis depuis 2014.</w:t>
      </w:r>
    </w:p>
    <w:p>
      <w:r>
        <w:t>Sa mère avait aussi confirmé ce fait à l’enquêteur, le 6 juin 2019.</w:t>
      </w:r>
    </w:p>
    <w:p>
      <w:r>
        <w:t>Ceci est encore conforté par les relevés de comptes bancaires du recourant pendant les années qui ont précédé les contrôles. Ceux-ci indiquent en effet, de façon très régulière, des retraits d’argent et des achats dans le quartier des Pâquis, notamment dans un supermarché de la place de la Navigation.</w:t>
      </w:r>
    </w:p>
    <w:p>
      <w:r>
        <w:t>Le recourant n’a par ailleurs pas contesté les allégués de l’hospice selon lesquels il cherchait à obtenir son propre appartement depuis 2015. Il avait pour ce faire déposé une demande auprès de l’office du logement social. Il a indiqué à son assistante sociale, les 29 octobre 2015, 11 décembre 2018 et 23 janvier 2019, avoir relancé ledit office. Il avait toutefois indiqué le 29 octobre 2015 que sa mère avait trouvé un appartement et qu’elle y avait déménagé.</w:t>
      </w:r>
    </w:p>
    <w:p>
      <w:r>
        <w:t>Les attestations versées à la procédure par le recourant n’ont qu’une force probante très limitée compte tenu de leurs auteurs et de leur proximité avec le recourant. M. B______, âgé de 90 ans, a subi, selon les écritures du recourant, deux AVC. Sa santé nécessite une aide permanente. Son audition n’a pas été proposée. M. B______ s’est limité à signer une lettre manuscrite de son ex-beau- fils. Le recourant a par ailleurs produit deux attestations, dactylographiées et identiques. Seul le nom du signataire, rajouté de façon manuscrite sur les pointillés en haut de l’attestation, ainsi que la signature et la date diffèrent. Ainsi, selon le texte dactylographié, chacune des deux personnes est un « ami de Madame E______ ». À déchiffrer les noms, la première serait Madame G______ et la seconde Madame H______, soit, selon le registre de de l’OCPM, la fille de M. B______ et une personne habitant à la même adresse que cette dernière.</w:t>
      </w:r>
    </w:p>
    <w:p>
      <w:r>
        <w:t>Le recourant explique par ailleurs que la présence de Mme E______ aux côtés de M. B______ est devenue quotidiennement indispensable. Cet élément conforte l’idée que Mme E______, présente quotidiennement au domicile de D______, y réside et que son propre appartement est occupé par le recourant. Aucun indice n’a été versé à la procédure par le recourant de ce que, malgré les soins prodigués quotidiennement par Mme E______ à son ex-mari, au domicile de</w:t>
      </w:r>
    </w:p>
    <w:p>
      <w:r>
        <w:t>- 10/12 - A/324/2020 D______, elle logerait dans un domicile distinct nécessitant d’en acquitter le loyer et de nombreux transports quotidiens ente les Pâquis et D______.</w:t>
      </w:r>
    </w:p>
    <w:p>
      <w:r>
        <w:t>Compte tenu des déclarations à l’enquêteur du recourant, de sa mère et des constats effectués sur place, l’hospice était autorisé à conclure que la résidence du recourant se situait aux Pâquis et non à D______.</w:t>
      </w:r>
    </w:p>
    <w:p>
      <w:r>
        <w:t>b. Le recourant conteste le poids accordé aux déclaration des inspecteurs.</w:t>
      </w:r>
    </w:p>
    <w:p>
      <w:r>
        <w:t>Ainsi que l'a souligné le Tribunal fédéral dans l'ATF 138 I 331, il existe un intérêt public – qualifié de sérieux et important – à pouvoir contrôler si l'octroi ou le maintien de prestations d'aide sociale est conforme à la situation financière effective de l'administré (ATA/810/2015 du 11 août 2015 consid. 13). Par ailleurs, de jurisprudence constante, la chambre administrative accorde généralement valeur probante aux constatations figurant dans un rapport établi par des agents assermentés (ATA/73/2017 du 31 janvier 2017 consid. 7 et les références citées), sauf si des éléments permettent de s’en écarter. Or, les membres du personnel chargés d'effectuer des enquêtes en lien avec l'octroi de prestations d'aide sociale sont assermentés par le Conseil d'État conformément à la loi sur la prestation des serments du 24 septembre 1965 (LSer – A 2 15 ; art. 24 al. 3 de la loi sur l'Hospice général du 17 mars 2006 (LHG - J 4 07) et rien, dans le cas d’espèce, ne permet de s’écarter des constats effectués par l’inspecteur.</w:t>
      </w:r>
    </w:p>
    <w:p>
      <w:r>
        <w:t>c. Le recourant souhaite connaître les causes de l’enquête.</w:t>
      </w:r>
    </w:p>
    <w:p>
      <w:r>
        <w:t>Cet élément est toutefois sans pertinence. Outre que selon la LIASI le demandeur de prestations de l’hospice doit se soumettre à une enquête de ce dernier lorsque celui-ci le demande (art. 32 al. 3 LIASI), le recourant y a expressément consenti en signant le document intitulé « Mon engagement en demandant une aide financière à l’hospice général ». Ledit document contient une clause selon laquelle l’intéressé s’engage en particulier à se soumettre en tout temps et sur simple demande de l’hospice général à une enquête du Service des enquêtes de l’hospice général sur sa situation personnelle et économique.</w:t>
      </w:r>
    </w:p>
    <w:p>
      <w:r>
        <w:t>d. Le recourant conteste le rapport de l’inspecteur au motif qu’il ne l’aurait pas signé.</w:t>
      </w:r>
    </w:p>
    <w:p>
      <w:r>
        <w:t>S’agissant d’un rapport dans le cadre de l’établissement des faits (art. 20 al. 2 let. b LPA), il n’est pas nécessaire d’établir un procès-verbal signé. L’art. 20 al. 3 LPA limite en effet cette obligation à la procédure contentieuse.</w:t>
      </w:r>
    </w:p>
    <w:p>
      <w:r>
        <w:t>e. Enfin, la décision respecte le principe de la proportionnalité, dès lors que la sanction consiste en une réduction de six mois au barème d’aide financière exceptionnelle, que la violation de l’obligation de renseigner a duré plusieurs années et que le recourant affirmait, faussement, à l’hospice chercher un logement.</w:t>
      </w:r>
    </w:p>
    <w:p>
      <w:r>
        <w:t>- 11/12 - A/324/2020</w:t>
      </w:r>
    </w:p>
    <w:p>
      <w:r>
        <w:t>Au vu de ce qui précède, le recours, mal fondé, doit être rejeté. 6)</w:t>
      </w:r>
    </w:p>
    <w:p>
      <w:r>
        <w:t>Vu la nature du litige, il ne sera pas perçu d'émolument (art. 87 al. 1 LPA),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