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ATA/484/2015 vom 21. Mai 2015</w:t>
      </w:r>
    </w:p>
    <w:p>
      <w:r>
        <w:t>GE Cour de justice, 2015-05-21, FR</w:t>
      </w:r>
    </w:p>
    <w:p>
      <w:r>
        <w:rPr>
          <w:b/>
        </w:rPr>
        <w:t xml:space="preserve">Quelle: </w:t>
      </w:r>
      <w:r>
        <w:t>https://mcp.opencaselaw.ch/entscheid/ge_gerichte_ATA_484_2015</w:t>
      </w:r>
    </w:p>
    <w:p>
      <w:r>
        <w:t>FR: GE_GERICHTE ATA/484/2015 du 21 mai 2015</w:t>
      </w:r>
    </w:p>
    <w:p>
      <w:r>
        <w:t>IT: GE_GERICHTE ATA/484/2015 del 21 maggio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11 mai 2015 et statuant ce jour, elle respecte ce délai.</w:t>
      </w:r>
    </w:p>
    <w:p>
      <w:r>
        <w:t>- 7/11 - A/1246/2015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En outre, la personne en détention administrative peut déposer en tout temps une demande de levée de détention (art. 7 al. 4 let. g LaLEtr).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w:t>
      </w:r>
    </w:p>
    <w:p>
      <w:r>
        <w:t>Les conditions d'une mise en détention administrative sont remplies. La chambre de céans a ainsi déjà examiné cette question dans l'ATA/265/2015 précité, si bien qu'il n'y a pas lieu d'y revenir. 7) a. La détention administrative doit respecter le principe de la proportionnalité, garanti par l’art. 36 al. 3 Cst.</w:t>
      </w:r>
    </w:p>
    <w:p>
      <w:r>
        <w:t>b. Selon l'art. 79 al. 1 LEtr, la détention en phase préparatoire et la détention en vue du renvoi ou de l’expulsion visées aux art. 75 à 77 LEtr ainsi que la détention</w:t>
      </w:r>
    </w:p>
    <w:p>
      <w:r>
        <w:t>- 8/11 - A/1246/2015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w:t>
      </w:r>
    </w:p>
    <w:p>
      <w:r>
        <w:t>Le recourant a été placé en détention administrative le 16 février 2015. Dès lors que la détention est due au non-respect d’une décision définitive et exécutoire d’interdiction d’entrée, la décision de mise en détention administrative - qui s’inscrit dans le cadre des dix-huit mois de détention autorisés - respecte le cadre légal.</w:t>
      </w:r>
    </w:p>
    <w:p>
      <w:r>
        <w:t>La durée de l'ordre de mise en détention a également déjà été jugé acceptable par la chambre de céans dans l'ATA/265/2015 précité (consid. 8). Le fait que la date du vol spécial soit maintenant prévue au mois de juin ne change rien au fait qu'aujourd'hui, la durée de la détention administrative n'est pas disproportionnée.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b.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w:t>
      </w:r>
    </w:p>
    <w:p>
      <w:r>
        <w:t>- 9/11 - A/1246/2015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10) Selon l'art. 80 al. 6 LEtr, la détention est levée lorsque le motif de celle-ci n’existe plus ou si l’exécution du renvoi ou de l’expulsion s’avère impossible pour des raisons juridiques ou matérielles.</w:t>
      </w:r>
    </w:p>
    <w:p>
      <w:r>
        <w:t>Ce qui est déterminant dans l'application de cette disposition est de savoir si le renvoi est ou non possible dans un avenir proche. La détention devient inadmissible au sens de l'art. 80 al. 6 LEtr, et partant disproportionnée, lorsqu'il existe des raisons sérieuses qui rendraient le renvoi inexécutable, ou irréalisable dans un délai raisonnable, si bien que la détention n'apparaîtrait plus conforme au but de la loi, qui est d'assurer l'exécution du renvoi (ATF 130 II 56 consid. 4.1.3 ; arrêt du Tribunal fédéral 2C_658/2014 du 7 août 2014 consid. 2.1). 11) En l'espèce, les douleurs du recourant à la mâchoire, pas plus que la présence de plaques sur celle-ci, issues de son opération, ne permettent a priori de mettre en doute le caractère exécutable du renvoi, étant rappelé qu'il est prévu avant tout vol spécial un contrôle médical permettant d'établir si l'étranger est apte ou non à prendre l'avion. L'art. 80 al. 6 LEtr n'apparaît donc pas applicable en l'espèce.</w:t>
      </w:r>
    </w:p>
    <w:p>
      <w:r>
        <w:t>Les problèmes de santé du recourant ne permettent pas non plus d'envisager une application de l'art. 83 al. 4 LEtr puisque, selon la jurisprudence citée plus haut, il ne suffit pas pour admettre l'inexigibilité de l'exécution du renvoi que le traitement de M. A______ ne puisse être poursuivi et achevé en Guinée-Bissau. Le recourant n'alléguant pas que les soins essentiels feraient défaut dans ce pays, il y a lieu d'écarter son grief, étant précisé qu'au plan médical, la situation n'a en rien changé depuis l'arrêt de la chambre de céans du 11 mars 2015, qui avait retenu que l'exécution du renvoi était exigible. 12) Mal fondé, le recours sera rejeté.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t>- 10/11 - A/1246/2015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