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ATA/484/2014 vom 24. Juni 2014</w:t>
      </w:r>
    </w:p>
    <w:p>
      <w:r>
        <w:t>GE Cour de justice, 2014-06-24, FR</w:t>
      </w:r>
    </w:p>
    <w:p>
      <w:r>
        <w:rPr>
          <w:b/>
        </w:rPr>
        <w:t xml:space="preserve">Quelle: </w:t>
      </w:r>
      <w:r>
        <w:t>https://mcp.opencaselaw.ch/entscheid/ge_gerichte_ATA_484_2014</w:t>
      </w:r>
    </w:p>
    <w:p>
      <w:r>
        <w:t>FR: GE_GERICHTE ATA/484/2014 du 24 juin 2014</w:t>
      </w:r>
    </w:p>
    <w:p>
      <w:r>
        <w:t>IT: GE_GERICHTE ATA/484/2014 del 24 giugno 2014</w:t>
      </w:r>
    </w:p>
    <w:p>
      <w:pPr>
        <w:pStyle w:val="Heading2"/>
      </w:pPr>
      <w:r>
        <w:t>Regeste</w:t>
      </w:r>
    </w:p>
    <w:p>
      <w:r>
        <w:t>Résumé: Les transformations effectuées sur un chemin, sans changement du régime de circulation, qui suppriment des places de parking ne touchent pas les riverains plus que quiconque. Dès lors, ils n'ont pas la qualité pour recourir. Il n'est pas nécessaire d'analyser le grief de la violation du droit d'être entendu.</w:t>
      </w:r>
    </w:p>
    <w:p>
      <w:pPr>
        <w:pStyle w:val="Heading2"/>
      </w:pPr>
      <w:r>
        <w:t>Erwägungen</w:t>
      </w:r>
    </w:p>
    <w:p>
      <w:r>
        <w:rPr>
          <w:b/>
        </w:rPr>
        <w:t>E. 26</w:t>
      </w:r>
    </w:p>
    <w:p>
      <w:r>
        <w:t>septembre 2010 - LOJ - E 2 05 ; art. 62 al. 1 let. a de la loi sur la procédure administrative du 12 septembre 1985 - LPA - E 5 10). 2)</w:t>
      </w:r>
    </w:p>
    <w:p>
      <w:r>
        <w:t>L'autorisation de construire est soumise à la loi sur les constructions et les installations diverses du 14 avril 1988 (LCI - L 5 05). Les 42 places de parking supprimées par le projet querellé, ne sont pas soumises à une réglementation de trafic. Aucune nouvelle réglementation n'est donc nécessaire pour compléter l'autorisation de construire, qui règle la question. Dès lors, les procédures de la loi d'application de la législation fédérale sur la circulation routière du 18 décembre 1987 (LaLCR - H 1 05) ne s'appliquent pas en l'espèce.</w:t>
      </w:r>
    </w:p>
    <w:p>
      <w:r>
        <w:t>- 7/12 - A/871/2013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(ATA/350/2014 du 13 mai 2014 ; ATA/186/2014 du 25 mars 2014 ; ATA/199/2013 du 26 mars 2013).</w:t>
      </w:r>
    </w:p>
    <w:p>
      <w:r>
        <w:t>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 let. a de la même loi (ATA/350/2014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w:t>
      </w:r>
    </w:p>
    <w:p>
      <w:r>
        <w:t>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 3 septembre 2013 ; François BELLANGER, La qualité de partie à la procédure administrative, in : Thierry TANQUEREL/François BELLANGER, Les tiers dans la procédure administrative, 2004, pp. 43 ss). Il incombe au recourant d'alléguer les faits propres à fonder sa qualité pour recourir (ATF 133 II 249 consid. 1.1 p. 251; 120 Ia 227 consid. 1 p. 229; 115 Ib 505 consid. 2). 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w:t>
      </w:r>
    </w:p>
    <w:p>
      <w:r>
        <w:t>- 8/12 - A/871/2013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La qualité de partie à la procédure administrative, in : Thierry TANQUEREL/François BELLANGER, pp. 43 ss, op. cit.).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Heinz AEMISEGGER / Stephan HAAG, Commentaire pratique de la protection juridique en matière d'aménagement du territoire ;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ATA/220/2013 du 9 avril 2013;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w:t>
      </w:r>
    </w:p>
    <w:p>
      <w:r>
        <w:rPr>
          <w:b/>
        </w:rPr>
        <w:t>E. 28</w:t>
      </w:r>
    </w:p>
    <w:p>
      <w:r>
        <w:t>août 2012 consid. 2.2).</w:t>
      </w:r>
    </w:p>
    <w:p>
      <w:r>
        <w:t>b. Le critère de la distance n’est pas le seul déterminant car la question de savoir si le voisin est directement atteint nécessite une appréciation de l’ensemble des circonstances pertinentes (Arrêt du Tribunal fédéral du 8 avril 1997 reproduit</w:t>
      </w:r>
    </w:p>
    <w:p>
      <w:r>
        <w:t>- 9/12 - A/871/2013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w:t>
      </w:r>
    </w:p>
    <w:p>
      <w:r>
        <w:t>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5)</w:t>
      </w:r>
    </w:p>
    <w:p>
      <w:r>
        <w:t>La seule qualité d'usager, même régulier, d'une route, ne saurait justifier un droit d'opposition, admettre le contraire reviendrait à reconnaître un tel droit à un cercle indéterminé de personnes sans aucun rapport de proximité avec le projet litigieux (Arrêt du tribunal fédéral 1A_11/2006 du 27 décembre 2006, consid. 3.2). Lors de la suppression de places de parking publiques et de mesures de circulation sur un tronçon routier, l'utilisation accrue de la voie publique ne suffit en outre pas à donner la qualité pour recourir quand l'ensemble des usagers sont touchés de la même manière (Arrêt du Tribunal fédéral 2A.115/2007 du 14 août 2007 consid. 3). Seul un droit d'usage privilégié de l'axe routier le permet (Arrêt du Tribunal fédéral 1C_463/2007 du 29 février 2008 consid. 1.3). Il faut en outre que l'atteinte soit particulièrement importante comme dans le cas d'une fermeture définitive de l'axe routier (2A.115/2007 précité consid. 3). 6)</w:t>
      </w:r>
    </w:p>
    <w:p>
      <w:r>
        <w:t>En l'espèce, les recourants sont riverains du chemin. Les aménagements effectués sur l'axe routier suppriment 42 places de parking sur la voie publique. Cependant, un cercle indéterminé de personnes est atteint par la mesure : les pendulaires, les visiteurs occasionnels et les habitant-e-s du quartier notamment.</w:t>
      </w:r>
    </w:p>
    <w:p>
      <w:r>
        <w:t>- 10/12 - A/871/2013 La suppression des places de parking ne les touchent pas plus spécialement, directement et concrètement que quiconque, d'autant plus qu'ils ont à leur disposition des places de parking privées. Le raisonnement est analogue pour la fermeture ou les modifications du tracé du chemin en cours de travaux qui sont provisoires, et donc à distinguer de l'atteinte grave d'une fermeture définitive. Finalement, les travaux effectués sur une route afin de l'aménager ont également un caractère passager et sont des mesures habituelles dans le cadre d'un chantier.</w:t>
      </w:r>
    </w:p>
    <w:p>
      <w:r>
        <w:t>Pour les autres aménagements prévus dans le projet querellé (élargissement et création de trottoirs ou modification du marquage routier), qui ne remettent pas fondamentalement en cause la circulation routière, il est difficile de voir en quoi ils seraient une atteinte directe et particulière pour les recourants. N'ayant pas un droit d'usage privilégié du chemin, les riverains n'avaient donc pas la qualité pour recourir auprès du TAPI. Ce grief sera écarté. 7)</w:t>
      </w:r>
    </w:p>
    <w:p>
      <w:r>
        <w:t>Les recourants se plaignent d'une violation de leur droit d'être entendu sur lequel le TAPI aurait dû entrer en matière. 8)</w:t>
      </w:r>
    </w:p>
    <w:p>
      <w:r>
        <w:t>Pour que la violation du droit d'être entendu puisse être examinée en dépit d'une absence de qualité pour recourir, il doit exister un déni de justice formelle détachable de l'examen de la cause sur le fond. En outre, l'examen du grief de violation du droit d'être entendu doit avoir été rendu impossible par la nature même de la voie de recours, par exemple dans le cas de l'examen limité à la violation de droits constitutionnels pour le recours constitutionnel subsidiaire de l'art. 113 LTF (Arrêt du Tribunal fédéral 2D_46/2013 du 18 septembre 2013 consid. 5.2).</w:t>
      </w:r>
    </w:p>
    <w:p>
      <w:r>
        <w:t>En l'espèce, le TAPI ayant, à raison, dénié la qualité pour recourir aux riverains, il n'avait pas à analyser une potentielle violation du droit d'être entendu.</w:t>
      </w:r>
    </w:p>
    <w:p>
      <w:r>
        <w:t>On peut également exclure une éventuelle nullité de la décision pour violation grave du droit d'être entendu suite à l'absence d'enquête publique. Comme la LaLCR ne s'applique pas au projet querellé, il n'existait pas de nécessité d'effectuer une enquête publique, si bien qu’il n'y a pas eu violation grave du droit d'être entendu. 9)</w:t>
      </w:r>
    </w:p>
    <w:p>
      <w:r>
        <w:t>Au vu de ce qui précède, le recours sera rejeté. Pris conjointement et solidairement, les recourants, qui succombent intégralement dans leurs conclusions, seront astreints au paiement d’un émolument de CHF 1'500.- (art. 87 al. 1 LPA). Aucune indemnité de procédure ne sera allouée (art. 87 al. 1 LPA).</w:t>
      </w:r>
    </w:p>
    <w:p>
      <w:r>
        <w:t>* * * * *</w:t>
      </w:r>
    </w:p>
    <w:p>
      <w:r>
        <w:t>- 11/12 - A/871/2013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