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ATA/484/2013 vom 30. Juli 2013</w:t>
      </w:r>
    </w:p>
    <w:p>
      <w:r>
        <w:t>GE Cour de justice, 2013-07-30, FR</w:t>
      </w:r>
    </w:p>
    <w:p>
      <w:r>
        <w:rPr>
          <w:b/>
        </w:rPr>
        <w:t xml:space="preserve">Quelle: </w:t>
      </w:r>
      <w:r>
        <w:t>https://mcp.opencaselaw.ch/entscheid/ge_gerichte_ATA_484_2013</w:t>
      </w:r>
    </w:p>
    <w:p>
      <w:r>
        <w:t>FR: GE_GERICHTE ATA/484/2013 du 30 juillet 2013</w:t>
      </w:r>
    </w:p>
    <w:p>
      <w:r>
        <w:t>IT: GE_GERICHTE ATA/484/2013 del 30 luglio 2013</w:t>
      </w:r>
    </w:p>
    <w:p>
      <w:pPr>
        <w:pStyle w:val="Heading2"/>
      </w:pPr>
      <w:r>
        <w:t>Regeste</w:t>
      </w:r>
    </w:p>
    <w:p>
      <w:r>
        <w:t>Résumé: Une provision pour risque et charges, évaluée forfaitairement et non pas sur le volume annuel de travaux de garantie entrepris aux cours des exercices précédents, ne remplit pas, en l'espèce, la condition de quasi-certitude du risque couvert par la provision.</w:t>
      </w:r>
    </w:p>
    <w:p>
      <w:pPr>
        <w:pStyle w:val="Heading2"/>
      </w:pPr>
      <w:r>
        <w:t>Erwägungen</w:t>
      </w:r>
    </w:p>
    <w:p>
      <w:r>
        <w:rPr>
          <w:b/>
        </w:rPr>
        <w:t>E. 4</w:t>
      </w:r>
    </w:p>
    <w:p>
      <w:r>
        <w:t>février 2009 et les références citées).</w:t>
      </w:r>
    </w:p>
    <w:p>
      <w:r>
        <w:t>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soir très vraisemblable. La question doit être examinée sur la base de tous les éléments en présence à la lumière de la situation prévalant au moment où le bilan est établi (ATF 103 Ib 366 consid. 4 p. 370). 3)</w:t>
      </w:r>
    </w:p>
    <w:p>
      <w:r>
        <w:t>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1er octobre 2008 consid 4.4 et les références citées ; ATA/207/2008 précité). 4)</w:t>
      </w:r>
    </w:p>
    <w:p>
      <w:r>
        <w:t>En l’espèce, la contribuable a fait figurer au bilan une provision de CHF 60'000.- pour « garanties et retours », arguant que de nombreuses pièces fabriquées étaient retournées par les clients en raison de malfaçons. Pour ces frais, elle comptabilisait une provision évaluée forfaitairement en fonction du volume d’affaires de l’année.</w:t>
      </w:r>
    </w:p>
    <w:p>
      <w:r>
        <w:t>Pour le surplus, la contribuable n’a pas répondu aux questions de l’AFC-GE portant sur la durée de garantie octroyée par la société à ses clients s’agissant des défauts ainsi que sur l’éventuelle assurance qu’elle aurait contractée pour couvrir entièrement ou partiellement le risque de perte ou de charge encouru, ni encore quant à la façon dont était évaluée ladite provision.</w:t>
      </w:r>
    </w:p>
    <w:p>
      <w:r>
        <w:t>Pour l’année 2008, elle a produit des preuves de frais engendrés par des retours de pièces les 2 et 8 octobre 2008, à hauteur d’environ CHF 21'000.-. Ces frais étaient dès lors connus au moment de l’établissement du bilan et ils ne représentent pas des engagements conditionnels pouvant donner lieu à la constitution d’une provision.</w:t>
      </w:r>
    </w:p>
    <w:p>
      <w:r>
        <w:t>Au vu des pièces produites et de l’absence d’explications données par la contribuable tant à l’AFC-GE que devant la chambre de céans, quant à l’évaluation du risque de retours de pièces, la contribuable doit supporter l’absence de preuve du fait que les conditions pour la constitution d’une provision diminuant son bénéfice imposable, ne sont pas réunies en l’espèce.</w:t>
      </w:r>
    </w:p>
    <w:p>
      <w:r>
        <w:t>- 7/8 - A/718/2011</w:t>
      </w:r>
    </w:p>
    <w:p>
      <w:r>
        <w:t>En outre, aux dires de la contribuable, la détermination du risque repose sur un calcul forfaitaire et non pas sur le volume annuel de travaux de garantie entrepris aux cours des exercices précédents. De ce fait, la condition de quasi- certitude du risque couvert par la provision, exigé par la jurisprudence, n’est pas remplie en l’espèce.</w:t>
      </w:r>
    </w:p>
    <w:p>
      <w:r>
        <w:t>En conséquence, la provision litigieuse ne remplissant pas les exigences décrites ci-dessus, elle n’est pas admissible fiscalement et il se justifie de réintégrer son montant dans le bénéfice imposable de la contribuable. 5)</w:t>
      </w:r>
    </w:p>
    <w:p>
      <w:r>
        <w:t>Impôts cantonaux et communaux</w:t>
      </w:r>
    </w:p>
    <w:p>
      <w:r>
        <w:t>Les dispositions légales régissant l'assujettissement des sociétés anonymes à l'impôt sur les personnes morales (art. 20 al. 1 LHID et 1 al. 2 LIPM), l'objet de l'impôt sur le bénéfice (art. 24 al. 1 LHID et 11 LIPM), ainsi que la constitution de provisions (art. 12 let. e et art. 13 LIPM) ont une teneur identique à celles de la LIFD citées plus haut.</w:t>
      </w:r>
    </w:p>
    <w:p>
      <w:r>
        <w:t>Une solution identique doit donc prévaloir en matière d'ICC.</w:t>
      </w:r>
    </w:p>
    <w:p>
      <w:r>
        <w:t>En conséquence, le recours de l’AFC-GE sera admis, le jugement du TAPI annulé et la décision sur réclamation prise par l’AFC-GE le 9 février 2011, rétablie.</w:t>
      </w:r>
    </w:p>
    <w:p>
      <w:r>
        <w:t>Vu l’issue du litige, un émolument de CHF 500.- sera mis à la charge de la contribuable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