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ATA/483/2012 vom 31. Juli 2012</w:t>
      </w:r>
    </w:p>
    <w:p>
      <w:r>
        <w:t>GE Cour de justice, 2012-07-31, FR</w:t>
      </w:r>
    </w:p>
    <w:p>
      <w:r>
        <w:rPr>
          <w:b/>
        </w:rPr>
        <w:t xml:space="preserve">Quelle: </w:t>
      </w:r>
      <w:r>
        <w:t>https://mcp.opencaselaw.ch/entscheid/ge_gerichte_ATA_483_2012</w:t>
      </w:r>
    </w:p>
    <w:p>
      <w:r>
        <w:t>FR: GE_GERICHTE ATA/483/2012 du 31 juillet 2012</w:t>
      </w:r>
    </w:p>
    <w:p>
      <w:r>
        <w:t>IT: GE_GERICHTE ATA/483/2012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w:t>
      </w:r>
    </w:p>
    <w:p>
      <w:r>
        <w:rPr>
          <w:b/>
        </w:rPr>
        <w:t>E. 2</w:t>
      </w:r>
    </w:p>
    <w:p>
      <w:r>
        <w:t>Les recourants ont demandé, dans leur acte de recours, à être entendus en audience de comparution personnelle.</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w:t>
      </w:r>
    </w:p>
    <w:p>
      <w:r>
        <w:t>- 7/12 - A/2529/2010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8C_866/2010 du 12 mars 2012 c. 4.1.1 ; 8C_643/2011 du 9 mars 2012 c. 4.3 et réf. citées ; 1C_161/2010 du 21 octobre 2010 consid. 2.1 ; 5A.150/2010 du 20 mai 2010 consid. 4.3 ; ATA/276/2012 du 8 mai 2012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w:t>
      </w:r>
    </w:p>
    <w:p>
      <w:r>
        <w:t>En l'espèce, les recourants ont pu s'exprimer par écrit à deux reprises pour développer leurs arguments.</w:t>
      </w:r>
    </w:p>
    <w:p>
      <w:r>
        <w:t>Dès lors qu'ils ne disposaient pas d'un droit d'être entendu oralement, leur droit d'être entendu a été respecté.</w:t>
      </w:r>
    </w:p>
    <w:p>
      <w:r>
        <w:rPr>
          <w:b/>
        </w:rPr>
        <w:t>E. 3</w:t>
      </w:r>
    </w:p>
    <w:p>
      <w:r>
        <w:t>Leur recours concerne l'ICC 2008. Le droit applicable doit être déterminé.</w:t>
      </w:r>
    </w:p>
    <w:p>
      <w:r>
        <w:t>Le 1er janvier 2010 est entrée en vigueur la loi sur l'imposition des personnes physiques du 27 septembre 2009 (LIPP - D 3 08) dont l'art. 69 abroge les cinq anciennes lois sur l'imposition des personnes physiques (aLIPP I-V).</w:t>
      </w:r>
    </w:p>
    <w:p>
      <w:r>
        <w:t>- 8/12 - A/2529/2010</w:t>
      </w:r>
    </w:p>
    <w:p>
      <w:r>
        <w:t>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w:t>
      </w:r>
    </w:p>
    <w:p>
      <w:r>
        <w:t>Le recours concernant la période fiscale 2008, le droit dans sa teneur à cette date est applicable (aLIPPI-V).</w:t>
      </w:r>
    </w:p>
    <w:p>
      <w:r>
        <w:rPr>
          <w:b/>
        </w:rPr>
        <w:t>E. 4</w:t>
      </w:r>
    </w:p>
    <w:p>
      <w:r>
        <w:t>Le litige porte exclusivement sur la manière dont les actions de la société doivent être évaluées dans la fortune des contribuables. Ceux-ci ne remettent pas en cause la justesse des calculs effectués par l'AFC sur la base des directives litigieuses ; ils contestent cependant l'applicabilité de celles-ci, en proposant un autre mode de calcul de la valeur vénale des actions, qu'ils considèrent plus proche de la réalité économique et plus conforme à leur capacité contributive.</w:t>
      </w:r>
    </w:p>
    <w:p>
      <w:r>
        <w:rPr>
          <w:b/>
        </w:rPr>
        <w:t>E. 5</w:t>
      </w:r>
    </w:p>
    <w:p>
      <w:r>
        <w:t>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aLIPP-III).</w:t>
      </w:r>
    </w:p>
    <w:p>
      <w:r>
        <w:t>La valeur vénale correspond à la valeur à laquelle les titres peuvent être échangés sur le marché dans des conditions normales (Arrêt du Tribunal fédéral du 25 mars 1974 in RDAF 1976 383 consid. 2 p. 386).</w:t>
      </w:r>
    </w:p>
    <w:p>
      <w:r>
        <w:t>Pour déterminer cette valeur, l'art. 5 al. 2 de la aLIPP-III (impôt sur la fortune) pose des règles d'évaluation. Selon cette disposition, les actions, parts de coopératives et autres droits de participation non cotés en bourse sont évalués en fonction de la valeur de rendement de l'entreprise et de sa valeur intrinsèque.</w:t>
      </w:r>
    </w:p>
    <w:p>
      <w:r>
        <w:t>Sous réserve d'exceptions visant des situations étrangères au cas d'espèce, les instructions sont applicables, s'agissant du mode de calcul permettant de parvenir au but recherché par les art. 14 al. 1 LHID et. 4 al. 2 aLIPP-III (art. 1 du règlement d'application de la LIPP-III - RALIPP-III).</w:t>
      </w:r>
    </w:p>
    <w:p>
      <w:r>
        <w:t>Cette application a été validée par le Tribunal fédéral dans l'arrêt du 25 mars 1974 précité (consid. 2 et 3). Selon ce dernier, l'observation démontre que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w:t>
      </w:r>
    </w:p>
    <w:p>
      <w:r>
        <w:t>Notre Haute Cour considère que les mêmes facteurs jouent pour l'estimation des titres non cotés. Elle souligne cependant que le rendement n'influence pas de la même manière la valeur d'une action dans les sociétés anonymes de famille ou qui n'ont qu'un unique actionnaire, et dans celles dont les actions sont répandues</w:t>
      </w:r>
    </w:p>
    <w:p>
      <w:r>
        <w:t>- 9/12 - A/2529/2010 dans le public et auxquelles participent de nombreux actionnaires. L'influence du rendement serait en effet moindre dans les premières que dans les secondes (idem).</w:t>
      </w:r>
    </w:p>
    <w:p>
      <w:r>
        <w:t>Elle rappelle enfin que les instructions n'ont pas le caractère d'une loi ou d'une ordonnance, mais qu'elles ne sont que des directives. Elles peuvent ainsi servir d'une manière générale de base d'estimation afin d'obtenir une évaluation uniforme des titres non cotés, à condition toutefois que les circonstances du cas particulier ne nécessitent pas de s'écarter de ce mode d'estimation schématique, voire ne l'excluent pas (idem ; ATF 94 I 157).</w:t>
      </w:r>
    </w:p>
    <w:p>
      <w:r>
        <w:rPr>
          <w:b/>
        </w:rPr>
        <w:t>E. 6</w:t>
      </w:r>
    </w:p>
    <w:p>
      <w:r>
        <w:t>La preuve de l'existence de telles circonstances et de l'inadéquation à leur situation du mode de calcul figurant dans les directives doit être apportée par les contribuables.</w:t>
      </w:r>
    </w:p>
    <w:p>
      <w:r>
        <w:t>En effet,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 éd., Bâle 2007, p. 442s ; P. AGNER/B. JUNG/G. STEINMANN, Commentaire de la loi sur l'impôt fédéral direct, Zurich 2001, n. 2 ad art. 130, p. 421).</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w:t>
      </w:r>
    </w:p>
    <w:p>
      <w:r>
        <w:t>- 10/12 - A/2529/2010 justifient l'assujettissement et qui augmentent la taxation, tandis que le contribuable doit prouver les faits qui diminuent la dette ou la suppriment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w:t>
      </w:r>
    </w:p>
    <w:p>
      <w:r>
        <w:t>Il incombe en effet à l'autorité fiscale d'apporter la preuve de l'existence d'éléments imposables non déclarés à leur juste valeur.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t>En l'espèce, l'existence et le nombre des actions concernées ne sont pas mis en cause. Pour déterminer leur valeur, l'AFC-GE a appliqué les directives usuelles, légales et réglementaires en la matière. Les recourants objectent cependant que le rendement élevé de leur entreprise pris en compte dans le calcul de la valeur vénale selon les instructions est essentiellement dû à leur personnalité (compétences professionnelles, carnet de relations, etc) et que si elle était vendue, leur entreprise ne pourrait être négociée sur le marché à la valeur fixée.</w:t>
      </w:r>
    </w:p>
    <w:p>
      <w:r>
        <w:t>En vertu des principes exposés ci-dessus, il appartient aux contribuables de démontrer la réalité de ces affirmations.</w:t>
      </w:r>
    </w:p>
    <w:p>
      <w:r>
        <w:t>Or, ils n'étayent leurs allégués par aucun élément. Composée de nombreux employés, la société n'apparaît pas totalement dépendante du talent des époux D______. Il ne paraît pas d'emblée exclu que sa réputation perdure au-delà de leur présence au sein de celle-ci - vu notamment l'importance des tâches effectuées par des tiers - et que sa valeur marchande puisse ainsi être évaluée à l'aune des directives litigieuses. En outre, une déduction de 30% a été opérée sur la valeur de rendement de la société pour tenir compte des risques éventuellement encourus.</w:t>
      </w:r>
    </w:p>
    <w:p>
      <w:r>
        <w:t>- 11/12 - A/2529/2010</w:t>
      </w:r>
    </w:p>
    <w:p>
      <w:r>
        <w:t>Leur motivation est totalement lacunaire à ce sujet et ne permet pas de s'écarter du mode de calcul retenu par l'AFC-GE, dont ils ne démontrent aucunement l'absence de conformité à la réalité économique.</w:t>
      </w:r>
    </w:p>
    <w:p>
      <w:r>
        <w:t>La société elle-même n'a pas contesté la décision de cette autorité du 26 juin 2009, fixant la valeur des actions litigieuses et détaillant le calcul effectué.</w:t>
      </w:r>
    </w:p>
    <w:p>
      <w:r>
        <w:rPr>
          <w:b/>
        </w:rPr>
        <w:t>E. 7</w:t>
      </w:r>
    </w:p>
    <w:p>
      <w:r>
        <w:t>Le recours sera ainsi rejeté.</w:t>
      </w:r>
    </w:p>
    <w:p>
      <w:r>
        <w:rPr>
          <w:b/>
        </w:rPr>
        <w:t>E. 8</w:t>
      </w:r>
    </w:p>
    <w:p>
      <w:r>
        <w:t>Au vu de l'issue du litige, un émolument de CHF 1'000.-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