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ATA/481/2024 vom 16. April 2024</w:t>
      </w:r>
    </w:p>
    <w:p>
      <w:r>
        <w:t>GE Cour de justice, 2024-04-16, FR</w:t>
      </w:r>
    </w:p>
    <w:p>
      <w:r>
        <w:rPr>
          <w:b/>
        </w:rPr>
        <w:t xml:space="preserve">Quelle: </w:t>
      </w:r>
      <w:r>
        <w:t>https://mcp.opencaselaw.ch/entscheid/ge_gerichte_ATA_481_2024</w:t>
      </w:r>
    </w:p>
    <w:p>
      <w:r>
        <w:t>FR: GE_GERICHTE ATA/481/2024 du 16 avril 2024</w:t>
      </w:r>
    </w:p>
    <w:p>
      <w:r>
        <w:t>IT: GE_GERICHTE ATA/481/2024 del 16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son audition, ainsi que celle de son pasteur.</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w:t>
      </w:r>
    </w:p>
    <w:p>
      <w:r>
        <w:t>- 10/22 - A/2712/2022 374 consid. 4.3.2 ; 131 I 153 consid. 3). En outre, il n'implique pas le droit d'être entendu oralement ni celui de faire entendre des témoins (ATF 134 I 140 consid. 5.3 ; 130 II 425 consid. 2.1).</w:t>
      </w:r>
    </w:p>
    <w:p>
      <w:r>
        <w:rPr>
          <w:b/>
        </w:rPr>
        <w:t>E. 2.2</w:t>
      </w:r>
    </w:p>
    <w:p>
      <w:r>
        <w:t>En l'espèce, la recourante a eu l’occasion de faire valoir son point de vue tout au long de la procédure devant le TAPI, puis la chambre de céans. Elle a, en outre, pu produire toutes les pièces qu’elle estimait utiles. Il n'apparaît pas que son audition soit de nature à apporter d'autres éléments pertinents que ceux qu'elle a déjà exposés par écrit ; elle ne le soutient d'ailleurs pas. Il en va de même de l’audition de son pasteur. En effet, même si ce dernier venait confirmer la présence de la recourante depuis 2011, ce point ne serait pas de nature à modifier l’issue du litige, comme il sera exposé ci-après (consid. 3.6). La chambre de céans dispose ainsi d’un dossier complet, comprenant notamment le dossier de l’OCPM, lui permettant de se prononcer sur les griefs soulevés et trancher le litige en connaissance de cause, de sorte qu’il ne sera pas fait droit aux demandes d’actes d’instruction.</w:t>
      </w:r>
    </w:p>
    <w:p>
      <w:r>
        <w:rPr>
          <w:b/>
        </w:rPr>
        <w:t>E. 3</w:t>
      </w:r>
    </w:p>
    <w:p>
      <w:r>
        <w:t>Le litige porte sur la décision de refus d’octroi de l’autorisation de séjour en faveur de la recourante et prononçant son renvoi de Suisse.</w:t>
      </w:r>
    </w:p>
    <w:p>
      <w:r>
        <w:rPr>
          <w:b/>
        </w:rPr>
        <w:t>E. 3.1</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1er janvier 2019 sont régies par le nouveau droit (arrêt du Tribunal fédéral 2C_1075/2019 du 21 avril 2020 consid. 1.1).</w:t>
      </w:r>
    </w:p>
    <w:p>
      <w:r>
        <w:rPr>
          <w:b/>
        </w:rPr>
        <w:t>E. 3.2</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w:t>
      </w:r>
    </w:p>
    <w:p>
      <w:r>
        <w:t>- 11/22 - A/2712/2022 393 consid. 3.1 ; 137 II 345 consid. 3.2.1). L'autorité doit néanmoins procéder à l'examen de l'ensemble des circonstances du cas d'espèce pour déterminer l'existence d'un cas de rigueur (ATF 128 II 200 consid. 4 ; 124 II 110 consid. 2 ; ATA/38/2019 du 15 janvier 2019 consid. 4c).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w:t>
      </w:r>
    </w:p>
    <w:p>
      <w:r>
        <w:t>- 12/22 - A/2712/2022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S'agissant de l'intégration, le Tribunal fédéral administratif a considéré que, 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TAF F-646/2015 du 20 décembre 2016 consid. 5.3). À teneur de l'art. 77e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2D_25/2023 du 12 janvier 2024 consid. 5.4 ; 2C_353/2023 du 22 novembre 2023 consid. 4.3.1 ; 2C_797/2022 du 22 mars 2023 consid. 3.3.3 ; 2C_145/2022 du 6 avril 2022 consid. 6.3 ; 2C_935/2021 du 28 février 2022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2C_145/2022 précité consid. 6.3 ; 2C_935/2021 précité consid. 5.1.2 ; 2C_725/2019 du 12 septembre 2019 consid. 7.2 et les arrêts cités). Selon la jurisprudence, des motifs médicaux peuvent, selon les circonstances, conduire à la reconnaissance d'un cas de rigueur lorsque la personne concernée démontre souffrir d'une sérieuse atteinte à la santé qui nécessite, pendant une longue</w:t>
      </w:r>
    </w:p>
    <w:p>
      <w:r>
        <w:t>- 13/22 - A/2712/2022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ATA/1279/2019 du 27 août 2019 consid. 5f).</w:t>
      </w:r>
    </w:p>
    <w:p>
      <w:r>
        <w:rPr>
          <w:b/>
        </w:rPr>
        <w:t>E. 3.3</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rPr>
          <w:b/>
        </w:rPr>
        <w:t>E. 3.4</w:t>
      </w:r>
    </w:p>
    <w:p>
      <w:r>
        <w:t>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3.5</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3.6</w:t>
      </w:r>
    </w:p>
    <w:p>
      <w:r>
        <w:t>En l’occurrence, la recourante fait valoir qu’elle réside à Genève depuis le 13 septembre 2011. Les pièces au dossier, en particulier l’attestation d’achats d’abonnement des Transports publics genevois (TPG) permettent de retenir une présence continue depuis décembre 2012, soit depuis onze ans. Ainsi, qu’elle soit arrivée en Suisse en 2011 ou en 2012, force est d’admettre que l’intéressée peut se prévaloir d’un séjour de longue durée. L’intégralité de ce séjour s’est toutefois déroulée dans l’illégalité, voire, depuis sa demande de régularisation du 16 novembre 2021, au bénéfice d’une simple tolérance. Or, conformément à la jurisprudence précitée, la durée d'un séjour illégal, ainsi qu'un séjour précaire, ne doivent normalement pas être pris en considération, ou seulement dans une mesure</w:t>
      </w:r>
    </w:p>
    <w:p>
      <w:r>
        <w:t>- 14/22 - A/2712/2022 très restreinte. Il y a donc lieu d'examiner si des critères d'évaluation autres que la seule durée du séjour en Suisse seraient de nature à faire admettre qu'un départ de ce pays placerait l'intéressée dans une situation excessivement rigoureuse. S’agissant de son intégration professionnelle en Suisse, il n’est pas contesté que la recourante a travaillé dans le domaine de l’économie domestique, ce qui lui a garanti une indépendance financière. Elle se trouve toutefois à charge de l’aide sociale depuis le 1er janvier 2022. Ainsi, force est de retenir que, sur le plan de son intégration professionnelle, un retour au Brésil n’entraînerait pas de conséquences particulièrement rigoureuses. Sur le plan de son intégration sociale, le TAPI a retenu que celle-ci était moyenne, notamment du fait que l’absence de poursuites n’avait été obtenue que grâce à un prêt sans intérêt octroyé par la Fondation genevoise de désendettement. La recourante conteste ce point, considérant qu’au vu des efforts pour réduire ses dettes et des circonstances l’ayant poussée à les contracter, son endettement n’est pas un élément suffisant pour nier son intégration. Or, même en ne tenant pas compte de son endettement, son intégration sociale ne saurait être qualifiée de remarquable. En effet, hormis une activité pastorale depuis 2011, la recourante n’allègue pas qu’elle se serait particulièrement investie dans la vie associative et culturelle de son canton. Elle ne se prévaut d’aucun lien particulier, familial ou amical, en Suisse. Quant à ses connaissances linguistiques, la recourante s’est limitée à produire une inscription aux cours de français niveau A2 pour l’année scolaire 2021-2022. Elle n’indique toutefois pas si elle a obtenu le niveau A1, ni si elle a poursuivi les cours l’année suivante. Ses connaissances du français apparaissent au demeurant limitées, vu le rapport des HUG du 21 octobre 2021 mentionnant des « difficultés de compréhension du français ». S’agissant des possibilités de réintégration de la recourante dans son pays d’origine, elle y a passé toute son enfance, son adolescence, ainsi que le début de sa vie d'adulte. Elle pourra mettre à profit l’expérience professionnelle acquise en Suisse. Elle dispose toujours d’une famille au Brésil, puisque sa mère et son frère y résident encore, étant rappelé qu’elle s’y est rendue en 2015. Dans ces conditions, sa réintégration socio-professionnelle ne paraît pas fortement compromise. Si elle traversera une nécessaire phase de réadaptation à son retour, aucun élément ne permet de retenir qu’elle se retrouvera face à d’importantes difficultés de réintégration. En définitive, le seul critère qui peut être retenu au sens de l’art. 31 al. 1 OASA est son état de santé. Or, ainsi que l’a relevé le Tribunal fédéral, une grave maladie ne saurait justifier, à elle seule, la reconnaissance d'un cas de rigueur, l'aspect médical ne constituant qu'un élément parmi d'autres. Ainsi, quand bien même les problèmes de santé de la recourante ne sauraient être minimisés, force est de constater que les autres éléments d’appréciation au sens de l’art. 31 al. 1 OASA ne parlent pas en faveur de la reconnaissance d’un cas individuel d’une extrême gravité. Comme déjà exposé, la recourante, dont la durée de son séjour en Suisse doit être fortement</w:t>
      </w:r>
    </w:p>
    <w:p>
      <w:r>
        <w:t>- 15/22 - A/2712/2022 relativisée, ne peut se prévaloir d’une intégration socio-professionnelle dans ce pays. C’est partant à juste titre que tant l’autorité intimée, qui n’a pas abusé de son pouvoir d’appréciation, que le TAPI, ont retenu que les conditions d’octroi d’une autorisation de séjour n’étaient pas remplies.</w:t>
      </w:r>
    </w:p>
    <w:p>
      <w:r>
        <w:rPr>
          <w:b/>
        </w:rPr>
        <w:t>E. 4</w:t>
      </w:r>
    </w:p>
    <w:p>
      <w:r>
        <w:t>La recourante conteste que son renvoi soit licite et raisonnablement exigible.</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64d al. 1 LEI).</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Code annoté de droit des migrations, vol.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(arrêt du TAF E-5092/2013 du 29 octobre 2013 consid 6.1 ; ATA/515/2016 du 14 juin 2016 consid. 6b).</w:t>
      </w:r>
    </w:p>
    <w:p>
      <w:r>
        <w:rPr>
          <w:b/>
        </w:rPr>
        <w:t>E. 4.3</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w:t>
      </w:r>
    </w:p>
    <w:p>
      <w:r>
        <w:t>- 16/22 - A/2712/2022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de la Convention de sauvegarde des droits de l’homme et des libertés fondamentales du 4 novembre 1950 (CEDH - RS 0.101)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t>- 17/22 - A/2712/2022 Selon la jurisprudence du TAF, l'exécution du renvoi d'une personne infectée par le VIH est en principe raisonnablement exigible tant que la maladie n'a pas atteint le stade C (selon la classification CDC), ou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ses possibilités d'accès aux soins médicaux et sa situation personnelle (réseau familial et social, qualifications professionnelles, situation financière ; ATAF D-5131/2020 du 26 mai 2021 consid. 7.3.2 et la référence citée).</w:t>
      </w:r>
    </w:p>
    <w:p>
      <w:r>
        <w:rPr>
          <w:b/>
        </w:rPr>
        <w:t>E. 4.4</w:t>
      </w:r>
    </w:p>
    <w:p>
      <w:r>
        <w:t>En l’espèce, dès lors qu’il a refusé de soumettre le dossier de la recourante au SEM en vue de la délivrance d’autorisation de séjour pour cas de rigueur, l’OCPM devait ordonner son renvoi de Suisse en application de l’art. 64 al. 1 let. c LEI. Reste toutefois à déterminer si l’exécution de cette mesure est possible, licite et peut être raisonnablement exigée au sens de l’art. 83 al. 4 LEI, au vu des problèmes de santé de la recourante. Les rapports médicaux établis par les HUG les 21 octobre 2021 et 15 février 2022 font état d’un diagnostic de VIH au stade A1. Elle suit un traitement antirétroviral depuis 2017, probablement à vie, qui se compose de Descovy et de Tivicay. Le pronostic avec traitement est excellent. Sans traitement, l’intéressée court un risque de danger vital. À la question de savoir si le traitement est disponible dans le pays d’origine, le médecin des HUG répond par l’affirmative. Dans la mesure où la maladie de la recourante n’a pas atteint le stade C, l’exécution de son renvoi est en principe raisonnablement exigible, conformément à la jurisprudence précitée. S’agissant des possibilités d’accès aux soins médicaux au Brésil, le médecin des HUG a précisé que le traitement dont bénéficiait la recourante pour son infection au VIH était disponible. Aucune pièce au dossier ne vient contredire cette affirmation, étant précisé que le Brésil dispose d’un système de soins universels (ATAF D-2969/2022 du 29 août 2022). Dans ces conditions, il ne peut pas être retenu que la santé et la vie de la recourante seraient actuellement mises en danger par un renvoi dans son pays d’origine. Devant la chambre de céans, la recourante reproche à la juridiction précédente de s’être fondée sur l’appréciation du médecin des HUG, selon laquelle le traitement était disponible au Brésil, sans examiner la question de l’accès concret à son traitement en cas de retour dans son pays. Or, celui-ci n’était nullement garanti. Se référant à plusieurs articles décrivant l’accès aux soins et le coût des médicaments au Brésil, elle a relevé que si le traitement dont elle a besoin était effectivement disponible au Brésil, il n’était pas accessible à toute la population vivant avec le VIH. L’accès aux soins restait en effet précaire pour une part considérable de la population brésilienne et notamment pour les personnes les plus vulnérables. Il ressort certes des pièces produites par la recourante que le traitement antirétroviral n’est pas administré à toutes les personnes atteintes du VIH au Brésil. Les statistiques ne précisent toutefois pas les raisons pour lesquelles certaines personnes</w:t>
      </w:r>
    </w:p>
    <w:p>
      <w:r>
        <w:t>- 18/22 - A/2712/2022 ne bénéficient pas de traitement et la recourante ne démontre pas qu’elle se trouverait dans cette situation. Par ailleurs, ainsi que l’a relevé le TAPI, et sans que ce point n’ait été spécifiquement contesté, la situation au Brésil aurait plutôt tendance à s’améliorer à la lecture des données d’ONUSIDA entre 2020 (chiffres fournis par la recourante, pièce 21) et 2021 (chiffres figurant dans le jugement entrepris) et 2022 (chiffres issus du rapport 2022 de cet organisme consulté ce jour, https://www.unaids.org/fr/regionscountries/countries/brazil), puisque le taux de couverture des personnes bénéficiant d’un traitement est passé de 70% à 74% et que le nombre des décès liés au sida est resté stable alors que la population séropositive a augmenté. Il résulte certes des pièces – non traduites – produites par la recourante que la gestion des problématiques liées à cette maladie au Brésil rencontre des difficultés, en particulier en ce qui concernerait la prévention, mais, comme l’a retenu le TAPI, cela n’implique pas que les séropositifs soient livrés à leur sort. C’est le lieu de rappeler que l’existence d'un standard de soins plus élevé en Suisse qu’au Brésil, et donc le fait que la recourante puisse s'y trouver dans une situation moins favorable que celle dont elle jouit présentement, ne sont pas des éléments déterminants au sens de la jurisprudence. S’agissant du coût des soins, la recourante ne conteste pas qu’en principe les traitements sont gratuits. Par ailleurs, et quand bien même elle devrait en financer une partie – ce qui ne ressort pas du dossier –, il est vraisemblable qu’elle en ait les moyens nécessaires, au vu de l’expérience professionnelle acquise en Suisse et de son aptitude à travailler. Elle bénéficie au demeurant d’une famille sur place pour la soutenir. Quant aux considérations générales sur le système de santé du Brésil, le taux de couverture de la population par l’assurance-maladie et le budget des ménages consacré à la santé, elles ne sont pas déterminantes, ces conditions s’appliquant à toute la population dudit pays. Ainsi, sans nier les difficultés des personnes atteintes du VIH au Brésil à pouvoir bénéficier des traitements, des soins de santé et autres services liés au VIH, l’intéressée se trouvera dans une situation identique à celle de ses compatriotes. Enfin, le TAPI a, à juste titre rappelé qu’au besoin, la recourante pourrait se constituer une réserve de médicaments avant son départ de Suisse. Cette possibilité a été rappelé à plusieurs reprises par le TAF (arrêts du TAF E-5092/2018 du 15 novembre 2018, voire aussi D-7524/2015 du 22 novembre 2017 et E-3165/2015 du 11 mai 2016). Contrairement à ce que soutient la recourante, une telle pratique n’est pas contraire aux recommandations de l’Institut suisse des produits thérapeutiques, lequel confirme la possibilité pour un particulier d’importer des médicaments pour sa consommation personnelle. Il est toutefois recommandé, pour toute importation dans un pays étranger, de se renseigner au sujet des lois appliquées dans les pays de destination. Quant aux difficultés financières auxquelles elle serait exposée pour se procurer les médicaments, le TAPI a rappelé que tant la Croix-Rouge genevoise que le canton de Genève pouvait verser des prestations financières d’aide au retour. Au besoin, une assistance et une</w:t>
      </w:r>
    </w:p>
    <w:p>
      <w:r>
        <w:t>- 19/22 - A/2712/2022 coordination médicales pouvaient lui être octroyées au moment de l’exécution du renvoi afin de la soutenir dans cette phase de retour. Quant aux autres affections dont souffre la recourante, c’est à juste titre que le TAPI a retenu que, même considérées dans leur ensemble, elles ne revêtaient pas la gravité requise pour s’avérer constitutives d’obstacles dirimants à l’exécution de son renvoi sous l’angle de l’exigibilité de cette mesure. La recourante n’expose pas que les traitements mis en place pour ces différentes affections ne seraient pas disponibles et pris en charge de manière appropriée au Brésil. La production d’articles – non traduits – sur l’accès inégal aux soins pour les personnes présentant des symptômes dépressifs au Brésil ne suffit pas. Le traitement administré pour les troubles dépressifs de la recourante n’est d’ailleurs pas particulièrement complexe puisqu’il consiste pour l'essentiel en une bi-thérapie anti-VIH, la prise de vitamines, magnésium et Laitea, et le psychiatre ne mentionne pas de critère de gravité. Dans ces conditions, on ne saurait considérer que les difficultés psychiques de la recourante atteignent une gravité telle qu'en l'absence de possibilités de traitement adéquat, l'état de santé de l'intéressée se dégraderait très rapidement au point de conduire d'une manière certaine à la mise en danger concrète de sa vie ou à une atteinte sérieuse, durable, et notablement plus grave de son intégrité physique. Le renvoi de la recourante n’est ainsi pas contraire aux engagements internationaux de la Suisse, dès lors qu’il n’est pas établi qu’elle encourt un « risque réel d'être exposée à un déclin grave, rapide et irréversible de son état de santé entraînant des souffrances intenses ou à une réduction significative de son espérance de vie ». Le renvoi est exigible en l’absence de nécessité médicale et de mise en danger concrète au sens de l’art. 83 al. 4 LEI. Tenant compte du fait que la recourante est capable de travailler, qu’elle a été active dans le secteur de l’économie domestique en Suisse, qu’elle pourra mettre cette expérience à profit au Brésil pour retrouver un emploi, qu’elle y a de la famille, que sa maladie est actuellement au stade A1, soit le moins grave et que des traitements sont disponibles sur place, c’est conformément au droit et sans abuser de son pouvoir d’appréciation que l’autorité intimée a considéré que les conditions pour ordonner un renvoi étaient remplies au vu de la jurisprudence très stricte en la matière. Mal fondé, le recours sera rejeté.</w:t>
      </w:r>
    </w:p>
    <w:p>
      <w:r>
        <w:rPr>
          <w:b/>
        </w:rPr>
        <w:t>E. 5</w:t>
      </w:r>
    </w:p>
    <w:p>
      <w:r>
        <w:t>Malgré l'issue du litige, aucun émolument ne sera perçu, la recourante plaidant au bénéfice de l’assistance juridique (art. 87 al. 1 LPA et art. 13 al. 1 du règlement sur les frais, émoluments et indemnités en procédure administrative du 30 juillet 1986 - RFPA - E 5 10.03). Vu l'issue du litige, il ne sera pas alloué d'indemnité de procédure (art. 87 al. 2 LPA).</w:t>
      </w:r>
    </w:p>
    <w:p>
      <w:r>
        <w:t>* * * * *</w:t>
      </w:r>
    </w:p>
    <w:p>
      <w:r>
        <w:t>- 20/22 - A/2712/2022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