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ATA/481/2020 vom 19. Mai 2020</w:t>
      </w:r>
    </w:p>
    <w:p>
      <w:r>
        <w:t>GE Cour de justice, 2020-05-19, FR</w:t>
      </w:r>
    </w:p>
    <w:p>
      <w:r>
        <w:rPr>
          <w:b/>
        </w:rPr>
        <w:t xml:space="preserve">Quelle: </w:t>
      </w:r>
      <w:r>
        <w:t>https://mcp.opencaselaw.ch/entscheid/ge_gerichte_ATA_481_2020</w:t>
      </w:r>
    </w:p>
    <w:p>
      <w:r>
        <w:t>FR: GE_GERICHTE ATA/481/2020 du 19 mai 2020</w:t>
      </w:r>
    </w:p>
    <w:p>
      <w:r>
        <w:t>IT: GE_GERICHTE ATA/481/2020 del 19 maggio 2020</w:t>
      </w:r>
    </w:p>
    <w:p>
      <w:pPr>
        <w:pStyle w:val="Heading2"/>
      </w:pPr>
      <w:r>
        <w:t>Erwägungen</w:t>
      </w:r>
    </w:p>
    <w:p>
      <w:r>
        <w:rPr>
          <w:b/>
        </w:rPr>
        <w:t>E. 28</w:t>
      </w:r>
    </w:p>
    <w:p>
      <w:r>
        <w:t>juillet 2009). Ces difficultés sont certes regrettables, mais font partie d’une réalité commune à de très nombreux étudiants (ATA/161/2009 du 31 mars 2009).</w:t>
      </w:r>
    </w:p>
    <w:p>
      <w:r>
        <w:t>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précité ; ATA/712/2016 précité ; ATA/424/2011 du 28 juin 2011).</w:t>
      </w:r>
    </w:p>
    <w:p>
      <w:r>
        <w:t>Un motif d’empêchement ne peut, en principe, être invoqué par le candidat qu’avant ou pendant l’examen</w:t>
      </w:r>
    </w:p>
    <w:p>
      <w:r>
        <w:t>d.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 6593/2013 du 7 août 2014 consid. 4.2 ; ATA/160/2020 du 11 février 2020 et les références citées).</w:t>
      </w:r>
    </w:p>
    <w:p>
      <w:r>
        <w:t>e. Dans l’exercice de ses compétences, toute autorité administrative doit respecter le principe de la proportionnalité, que ce respect soit imposé par l’art. 36 al. 3 de la Constitution fédérale de la Confédération suisse du 18 avril 1999 (Cst. - RS 101)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consid. 3.2 ; 135 I 176 consid. 8.1 ; ATA/832/2013 du 17 décembre 2013 ; Thierry TANQUEREL, Manuel de droit administratif, 2ème éd., 2018, p. 197 ss n. 550 ss). 5) a. En l’espèce, dans la mesure où la recourante n’a pas obtenu 30 crédits au cours de l'année académique 2018-2019, c'est à juste titre que l'intimée s'est fondée sur l'art. 26 al. 1 let. b RE pour prononcer l'élimination.</w:t>
      </w:r>
    </w:p>
    <w:p>
      <w:r>
        <w:t>- 9/10 - A/111/2020</w:t>
      </w:r>
    </w:p>
    <w:p>
      <w:r>
        <w:t>Il convient néanmoins d'examiner la situation personnelle de la recourante sous l'angle de l'existence d'éventuelles circonstances exceptionnelles dont aurait dû tenir compte le directeur de l’institut avant de prononcer l'élimination.</w:t>
      </w:r>
    </w:p>
    <w:p>
      <w:r>
        <w:t>b. L’étudiante met en avant des motifs de santé, en lien avec son état psychologique dû aux maladies que ses parents ont dû affronter pendant l’année en question.</w:t>
      </w:r>
    </w:p>
    <w:p>
      <w:r>
        <w:t>Elle n’a toutefois produit aucun certificat médical ni même mentionné ces problèmes avant de s’opposer, le 9 octobre 2019, à la décision l’éliminant de l’institut.</w:t>
      </w:r>
    </w:p>
    <w:p>
      <w:r>
        <w:t>Or, les conditions rappelées ci-dessus pour admettre un motif d’empêchement invoqué tardivement ne sont manifestement pas remplies. Elle avait connaissance des problèmes médicaux allégués au mois de mars déjà et l’état psychologique dans lequel elle dit s’être trouvée n’est manifestement pas apparu soudainement, sans que des symptômes ne soient apparus antérieurement.</w:t>
      </w:r>
    </w:p>
    <w:p>
      <w:r>
        <w:t>De plus, l’intéressée n’a pas consulté de médecin immédiatement après les examens, mais plus de quinze jours après la réception du relevé des notes finales.</w:t>
      </w:r>
    </w:p>
    <w:p>
      <w:r>
        <w:t>Au vu de ces éléments, le recours sera rejeté. 6.</w:t>
      </w:r>
    </w:p>
    <w:p>
      <w:r>
        <w:t>Vu l'issue du litige, un émolument de CHF 550.- sera mis à la charge de la recourante, qui n'allègue pas être dispensée des taxes universitaires (art. 87 al. 1 LPA cum art. 11 al. 1 du règlement sur les frais, émoluments et indemnités en procédure administrative du 30 juillet 1986 - RFPA - E 5 10.03) et aucune indemnité de procédure ne lui sera allouée, pas plus qu'à l'université qui dispose d'un service juridique susceptible de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