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ATA/480/2025 vom 29. April 2025</w:t>
      </w:r>
    </w:p>
    <w:p>
      <w:r>
        <w:t>GE Cour de justice, 2025-04-29, FR</w:t>
      </w:r>
    </w:p>
    <w:p>
      <w:r>
        <w:rPr>
          <w:b/>
        </w:rPr>
        <w:t xml:space="preserve">Quelle: </w:t>
      </w:r>
      <w:r>
        <w:t>https://mcp.opencaselaw.ch/entscheid/ge_gerichte_ATA_480_2025</w:t>
      </w:r>
    </w:p>
    <w:p>
      <w:r>
        <w:t>FR: GE_GERICHTE ATA/480/2025 du 29 avril 2025</w:t>
      </w:r>
    </w:p>
    <w:p>
      <w:r>
        <w:t>IT: GE_GERICHTE ATA/480/2025 del 29 aprile 2025</w:t>
      </w:r>
    </w:p>
    <w:p>
      <w:pPr>
        <w:pStyle w:val="Heading2"/>
      </w:pPr>
      <w:r>
        <w:t>Regeste</w:t>
      </w:r>
    </w:p>
    <w:p>
      <w:r>
        <w:t>Résumé: Vu les éléments figurant au dossier, en particulier les quatre préavis du SABRA et les formulaires du Cercle Bruit, l’examen des divers emplacements envisagés pour la pompe à chaleur de l’intimée, dont celui proposé par les recourants, a montré que celui choisi était le plus adéquat, permettant le meilleur respect des valeurs de planification et du principe de prévention. La question du caractère prétendument illicite des aménagements effectués par l’intimée au sous sol de sa villa est exorbitante à l’objet du litige, lequel concerne uniquement l’installation de la pompe à chaleur de l’intimée. La mise en place d’une paroi anti bruit permet également de respecter le principe de prévention, sans engendrer de coûts excessifs. Rejet du recours.</w:t>
      </w:r>
    </w:p>
    <w:p>
      <w:pPr>
        <w:pStyle w:val="Heading2"/>
      </w:pPr>
      <w:r>
        <w:t>Erwägungen</w:t>
      </w:r>
    </w:p>
    <w:p>
      <w:r>
        <w:rPr>
          <w:b/>
        </w:rPr>
        <w:t>E. 22</w:t>
      </w:r>
    </w:p>
    <w:p>
      <w:r>
        <w:t>d(B) durant la nuit, comme mesuré le 1er décembre 2024, étant dit que cette</w:t>
      </w:r>
    </w:p>
    <w:p>
      <w:r>
        <w:t>- 14/32 - A/3289/2022 différence était significative sur une échelle logarithmique. Le maintien de l’emplacement actuel conduisait à un résultat choquant, puisqu’il s’agissait de leur imposer une nuisance durable et permanente, péjorant leur qualité de vie alors qu’il existait in casu des solutions pour l’éviter, lesquelles auraient été facilitées si l’intimée n’avait pas, bien avant qu’elle n’en soit autorisée, acquis et installé son matériel. À l’appui de leur recours, ils produisaient notamment les documents suivants : - une copie de l’annonce de la vente de la villa acquise par l’intimée, comprenant diverses photographies de lieux et les plans de celle-ci, lesquels indiquent notamment que le sous-sol était composé d’un carnotzet avec une « kitchenette », une cave, une buanderie, une salle de douche avec toilettes, une chaufferie et un local comportant la citerne à mazout ; - des photographies de la PAC de l’intimée prises depuis leur maison ; - un rapport de K______ du 5 avril 2024 concernant les mesures relevées le 15 février 2024 à partir de 23h, à savoir « bruit de fond, PAC à l’arrêt : Leq = 36dB(A) ; PAC en régime de nuit : Leq = 36.5 dB(A) ; PAC en régime de jour : Leq = 36.4 dB(A). […] Lors des mesures, le fonctionnement de la PAC était inaudible en régime de nuit et très légèrement audible en régime de jour, au niveau de la chambre enfant au 1er étage. Dans les deux cas, le bruit produit par le fonctionnement de la PAC n’émerge[ait] pas suffisamment du bruit de fond ambiant pour évaluer la situation. Le bruit de fond lors de mesures [était] produit par la circulation routière sur les axes à proximité principalement de la route de Thonon. La réalisation de mesures lors d’une période plus calme de la nuit, lorsque la circulation routière était plus faible devait être envisagée pour évaluer correctement la situation » ; - une attestation de I______, voisin des recourants et de l’intimée, indiquant notamment « cette PAC a été mise plusieurs fois à l’arrêt à mon soulagement. J’ai en effet remarqué que lorsqu’elle fonctionnait, elle produisait un bourdonnement continu extrêmement désagréable, portant jusqu’à mes fenêtres, à une dizaine de mètres, ceci même lorsque les deux SUV de ses habitants sont parqués devant et font écran. Ce bruit surpassait le calme ambiant, aussi bien à certains moments de la journée que durant la nuit où il est encore plus pénible » ; - un procès-verbal de constat dressé le 1er décembre 2024 par un huissier selon lequel celui-ci avait effectué des prises de volume sonore à l’aide d’un sonomètre professionnel à 1h20. Le sonomètre avait été placé sur une échelle, à l’extérieur sur la terrasse, devant le salon, dans l’embrasure des portes fenêtres ouvertes. À 1h20 et durant toutes les prises de mesures, le temps était sec et couvert sans vent, avec une température de 2 degrés. Entre 1h20 et 2h04, les mesures avaient fluctué entre 20.6 dB et 23.8 dB.</w:t>
      </w:r>
    </w:p>
    <w:p>
      <w:r>
        <w:t>- 15/32 - A/3289/2022 b. Le 16 décembre 2024, l’intimée a sollicité l’autorisation de maintenir le fonctionnement de sa PAC durant la période hivernale, en demandant de lever l’effet suspensif au recours. L’installation de celle-ci avait été réalisée dans le respect des normes techniques et environnementales applicables. Le jugement attaqué confirmait que son emplacement était conforme aux règles en vigueur. Conformément aux instructions du TAPI, le fonctionnement de la PAC avait été suspendu depuis le printemps en attendant que le litige soit tranché. De retour à son domicile le 11 décembre 2024, après une longue absence, elle avait constaté que la température à l’intérieur de son logement était de 12 degrés. Elle avait ainsi remis en marche la PAC le jour-même. Ce n’était que le lendemain qu’elle avait reçu le présent recours, avant d’être mise en demeure, le 16 décembre 2024, par les recourants, d’arrêter immédiatement sa PAC. L’arrêt du chauffage pendant l’hiver constituait une atteinte disproportionnée à son droit à une existence conforme à la dignité humaine. Son droit de vivre dans des conditions dignes, avec un logement chauffé en hiver, prévalait sur le souhait de son voisin d’empêcher le fonctionnement d’un équipement respectant les normes en vigueur et ne causant pas de préjudice manifeste. Dans l’hypothèse où elle devait s’absenter de son logement pour une certaine période, elle mettrait sa PAC en mode « hors-gel ». c. Par décision sur mesures superprovisionnelles du 18 décembre 2024, la chambre administrative a ordonné la restitution temporaire de l’effet suspensif jusqu’à décision exécutoire sur mesures provisionnelles. d. Dans leurs observations du 7 janvier 2025, les recourants ont demandé le maintien de l’effet suspensif au recours, en précisant que l’unité de production de chaleur pourrait être activée uniquement en mode « hors-gel », soit sans l’activation de la PAC. Depuis l’hiver 2023-2024, l’intimée avait tout mis en œuvre pour empêcher une prise de mesure objective par l’expert indépendant choisi. Depuis la fin de l’été, ils n’avaient pas pu constater la moindre présence de leur voisine. En réalité, elle était établie avec son compagnon à La Clusaz, ce qui expliquait son absence de Genève. Son compagnon et elle y étaient établis de manière permanente, la villa sise à Genève ne constituant qu’une résidence fiscale, acquise à des fins spéculatives. Ils déploraient que l’intimée puisse vouloir faire croire à un besoin de se chauffer, alors même qu’elle ne résidait pas dans l’habitation litigieuse et qu’elle savait les nuisances et troubles que celle-ci leur générait. Cela étant, la proposition de l’intimée de faire fonctionner la PAC en mode « hors-gel » pouvait être une solution acceptable, dans la mesure où l’appareil de production de chaleur fonctionnait ainsi sans activation de la pompe, mais uniquement avec l’utilisation de l’énergie du réseau sans générer de nuisances pour le voisinage. Ils produisaient l’annonce d’une autorisation de construire délivrée au nom du compagnon de l’intimé pour son chalet sis à La Clusaz, ainsi qu’un extrait du</w:t>
      </w:r>
    </w:p>
    <w:p>
      <w:r>
        <w:t>- 16/32 - A/3289/2022 registre du commerce (ci-après : RC) concernant la société J______ dont le compagnon de l’intimée était l’administrateur avec signature individuelle et le siège social se trouvait à leur domicile de Vésenaz. e. Le même jour, le département s’en est rapporté à justice quant à la requête de l’intimée du 16 décembre 2024, en relevant que la pesée des intérêts effectuée par le TAPI, dans sa décision sur effet suspensif du 3 février 2023, apparaissait judicieuse et proportionnée. f. L’intimée a conclu au rejet du recours. Leur mésentente datait de l’achat de sa villa, l’ayant elle-même acquise au détriment des recourants qui la souhaitaient. Contrairement à leurs allégations, l’expertise acoustique qu’ils produisaient avait été effectuée « par eux-mêmes et non par un acousticien professionnel ». Les mesures n’avaient pas été effectuées à l’endroit des chambres au premier étage, mais au rez-de-chaussée derrière un mur d’enceinte. La première expertise prévue le 19 janvier 2024 à 6h30 ayant été reportée à la demande des recourants en raison des bruits ambiants, une seconde prise de mesures avait été effectuée le 15 février 2024 entre 23h et 24h, alors que la PAC fonctionnait à son régime maximal de jour. Les mesures étaient alors en deçà des seuils légaux dans le quartier considéré. La demande des recourants que sa PAC soit installée au sous-sol de sa maison était contraire au rapport explicatif concernant la modification de l’OPB  concrétisation du principe de prévention pour les pompes à chaleur du 29 septembre 2023 (ci-après : le rapport OPB). Le seul gain de place effectué au sous-sol de sa villa par rapport à la configuration préalable avait été la suppression de la cuve à mazout de 4000 litres. Elle était bien propriétaire de la villa qui constituait sa résidence principale et fiscale depuis cinq ans. La cage d’escalier, se déployant sur trois niveaux sans cloisonnement depuis 1965, impliquait de devoir chauffer le sous-sol afin d’assurer la performance énergétique globale de l’intérieur de sa villa. Elle en avait uniquement repeint les marches et la rampe d’escaliers. Ne pas chauffer le sous-sol conduisait à solliciter davantage la PAC pour maintenir une température correcte au rez-de-chaussée et au premier étage de la villa. L’ensemble des portes existantes dans la maison avaient été remises en place après avoir été repeintes. Sa PAC, homologuée en Suisse, avait été installée par des professionnels suisses, à la distance la plus lointaine de l’ensemble des voisins. Elle était dotée d’un mur antibruit complémentaire qui n’entravait pas son fonctionnement et disposait d’un mode « nuit » pour en réduire la puissance de fonctionnement, tandis qu’aucun bruit ambiant ne se propageait sous les fenêtres des recourants. Contrairement à leurs allégations, la paroi installée près de la PAC faisait effet puisque le bruit mesuré n’avait pas dépassé 36.5 dB(A) alors que sa PAC était à pleine puissance et que le bruit ambiant seul était déjà de 36 dB(A). La paroi dépassait d’ailleurs le haut de la PAC. Les aménagements du sous-sol de sa villa avaient fait l’objet d’une autorisation de construire entrée en force. Les mesures de bruit invoquées par les</w:t>
      </w:r>
    </w:p>
    <w:p>
      <w:r>
        <w:t>- 17/32 - A/3289/2022 recourants n’étaient pas correctes ni réalistes. Elle avait bénéficié d’une subvention de plus de CHF 6'000.- pour l’achat et l’installation de sa PAC aux fins d’encourager la transition énergétique après une visite sur place des autorités compétentes. Le garage de plusieurs habitations, dont celle des recourants, avait été transformé en habitation, sans que ces transformations aient été systématiquement cadastrées. Lors de la prise de mesures du 15 février 2024, tant l’expert que les recourants n’avaient invoqué aucune anomalie concernant le bruit ambiant ou la procédure de prise de mesures. Aucun autre voisin, à l’exception de I______, ami du recourant, n’avait manifesté de mécontentement en raison du fonctionnement de sa PAC. Rien ne l’obligeait à installer sa PAC au sous-sol de sa maison, datant de 1965, alors qu’elle aurait à en supporter les coûts exorbitants. Le modèle de PAC choisi n’aggravait nullement les prétendues nuisances sonores. Rien ne lui interdisait de chauffer son sous-sol, d’autant plus que celui-ci communiquait avec le rez-de-chaussée et le premier étage par une cage d’escalier entièrement ouverte. Habitant seule avec son compagnon, il était inconcevable qu’elle ait besoin de pièces supplémentaires habitables en sous-sol. L’emplacement de la PAC était optimum pour l’ensemble des voisins. Elle avait également dépensé plus de CHF 2'500.- en études acoustiques professionnelles et mur antibruit, ce qui représentait plus de 2% du coût total de son installation. Les recourants n’apportaient aucune preuve objective de la gêne et proposaient une solution moins efficiente que celle existante. Concernant l’expertise acoustique, ni K______, ni les recourants n’avaient refusé d’effectuer les mesures de bruit le 15 février 2024 entre 23 h et minuit. Ils avaient donc bien considéré à ce moment-là que le bruit ambiant reflétait réellement la situation d’une nuit calme dans le quartier. C’était uniquement lorsque les résultats s’étaient avérés défavorables à la cause des recourants que ceux-ci les avaient contestés. Or, l’acousticien choisi par les recourants était intervenu et elle-même avait collaboré lors de la prise des mesures le 15 février 2024 lesquelles avaient été analysées par L______, docteur ès sciences. Le litige n’avait donc aucune portée technique. L’instruction des alternatives et aménagements en respect du principe de prévention avait duré plus d’un an  depuis le 22 juin 2021  avant d’aboutir à la délivrance de l’autorisation de construire le 7 septembre 2022. Compte tenu de la profession d’avocat du recourant, celui-ci aurait dû faire preuve de retenue et de bonne foi dans ses écritures. Au contraire, celles-ci relevaient davantage de l’abus de droit, de sorte qu’une amende pour téméraire plaideur devait être infligée aux recourants. Étaient joints notamment les documents suivants :</w:t>
      </w:r>
    </w:p>
    <w:p>
      <w:r>
        <w:t>- 18/32 - A/3289/2022 - un courriel du 18 octobre 2018 de la mère du recourant à celui-ci concernant l’achat de la maison de l’intimée ; - un courrier du 16 décembre 2024 des recourants la mettant en demeure d’arrêter immédiatement son « installation illicite » ; - un courriel de K______ du 22 janvier 2024 au sujet de la visite du 19 janvier 2024 concluant qu’il confirmait que « le bruit produit par le fonctionnement de la PAC au niveau de la villa des recourants est inférieur au bruit de fond ambiant lors de la visite (envir. 49 dBA). Cela ne permet pas de conclure que l’installation est conforme à la réglementation acoustique en vigueur » ; - un avis du 24 avril 2024 de L______ sur le rapport précité, concluant que « d’après les mesures effectuées par K______ la gêne due au bruit provoquée par le fonctionnement de la pompe à chaleur n’était pas caractérisée dans la propriété voisine » ; - des photographies du sous-sol, de la cage d’escalier et de l’extérieur de sa villa. g. Ultérieurement, l’intimée a persisté dans ses conclusions, en relevant son étonnement quant au fait que les recourants puissent douter de l’existence de sa résidence principale en Suisse et la confondre avec la résidence secondaire de son compagnon à La Clusaz, laquelle était dûment déclarée fiscalement en Suisse. Le transport sur place leur avait permis de constater que leur villa constituait bien leur domicile principal. Au besoin, la factrice pouvait en témoigner, de même que ses relevés bancaires. Elle avait pris soin de signaler ses absences de fin d’année démontrant qu’elle était a contrario présente. h. Le département s’en est rapporté à justice quant à la recevabilité du recours, en concluant à son rejet. La mise en œuvre d’une expertise judiciaire par un ingénieur acousticien s’avérait disproportionnée, le dossier d’autorisation de construire étant complet. Les vérifications des valeurs annoncées avaient été dûment effectuées par le SABRA et les différents formulaires et documents nécessaires avaient été versés au dossier. Celui-ci comportait le rapport de l’acousticien du 5 avril 2024 établi à la demande des parties, lequel permettait de trancher le litige en toute connaissance de cause sans qu’il soit nécessaire de procéder à une seconde expertise identique. S’agissant d’une prétendue mauvaise application du principe de prévention, les recourants se contentaient de reprendre l’argumentation développée auprès du TAPI, sans présenter de lien clair entre le jugement attaqué et leurs griefs. En toute hypothèse, leur raisonnement ne pouvait être suivi. Vu les éléments du dossier, le TAPI avait retenu, à juste titre que, au vu des caractéristiques de la maison concernée (constatées in visu), la solution que les recourants voulaient absolument imposer, outre le fait qu’elle n’était pas de nature à atteindre l’objectif souhaité (diminuer au maximum le bruit généré par cette installation), nécessitait la réalisation de travaux structurels importants avec toutes</w:t>
      </w:r>
    </w:p>
    <w:p>
      <w:r>
        <w:t>- 19/32 - A/3289/2022 les conséquences que cela pouvait engendrer au niveau économique, contrairement à ce que prévoyait le Tribunal fédéral. Ainsi, le principe de prévention avait été respecté et le projet permettait le respect des valeurs de planification avec une grande marge. i. Le 24 janvier 2025, la cause a été gardée à juger sur effet suspensif. j. Les recourants ont répliqué, en persistant dans leurs conclusions et précédents développements. À partir de l’ordre de mise à l’arrêt de l’OAC de la PAC de l’intimée du 15 novembre 2019, celle-ci était restée éteinte jusqu’au 3 février 2023, date à laquelle le TAPI avait toléré sa mise en marche temporaire. L’intimée avait donc eu la possibilité technique de produire chauffage et eau chaude sans produire de nuisances, durant près de quatre ans. Le recourant était directement atteint dans sa santé par les nuisances produites, se trouvant dans l’impossibilité de ventiler sa chambre alors qu’il souffrait de déficits sur le plan respiratoire. Dès l’été 2019, ils avaient tenté de dialoguer avec l’intimée, lui proposant de participer financièrement au déplacement de l’installation litigieuse. Elle avait refusé les propositions de l’acousticien mis en œuvre, tout en refusant de régler ses honoraires, mais également toute proposition de médiation. Les trois sortes de mesures préventives à envisager, soit l’implantation de la nouvelle installation de chauffage au sous-sol, l’emplacement le moins nuisible au voisinage en cas d’installation de la PAC à l’extérieur et le choix d’un modèle silencieux et adapté aux besoins de chauffage de la villa à équiper, n’avaient pas été correctement examinées par le TAPI. Les plans d’origine de la villa construite en 1965 montraient que l’intimée avait modifié le sous-sol. Selon l’avis du représentant du SABRA, il existait un lieu plus approprié pour l’implantation d’une PAC extérieure au dos de la villa de l’intimée. Ce lieu d’implantation alternatif était plus éloigné du voisinage et non préjudiciable à l’intimée, tout en rapprochant le module extérieur de la PAC des ballons d’eau à l’intérieur, situées sous le parvis, tandis que l’emplacement actuel se trouvait en vis-à-vis complet des pièces habitables de leur villa, dont les chambres surplombaient la PAC, celles-ci ne disposant pas de fenêtres ailleurs que dans la façade exposée. Leur jardin et leur terrasse se trouvaient intercalés entre la PAC et la façade exposée à celle-ci. L’intimée avait équipé sa villa d’une PAC de 12 kW, alors qu’une PAC de 9.5 kW aurait été suffisante. Le choix d’un modèle aussi puissant et bruyant s’expliquait par la volonté de chauffer trois étages entiers. Le silence du département à cet égard était surprenant alors que ses services avaient expressément prescrit dans l’autorisation de construire que « les pièces en sous-sol ne pourr[aient] en aucun cas être habitables » et retenait « taux sous-sol : 10% inchangé ». La proposition de l’intimée, validée sans réel contrôle, présentait des erreurs et était inefficiente. Les mesures effectuées le 1er décembre 2024 par l’huissier comparées à celles effectuées par K______ le 24 février 2024 permettaient de retenir que le</w:t>
      </w:r>
    </w:p>
    <w:p>
      <w:r>
        <w:t>- 20/32 - A/3289/2022 bruit de la PAC litigieuse excédait de 14.4 dB le fond sonore nocturne à la hauteur des fenêtres de leur villa. Compte tenu de l’échelle logarithmique, ce différentiel était substantiel. Un autre voisin direct de l’installation litigieuse, I______, avait tenu à témoigner de ses réelles nuisances dans le secteur où elle avait été implantée. L’adossement de la PAC à un mur amplifiait son bruit de 6 dB par réflexion. Elle atteignait ainsi, face à leurs chambres, 68 dB de jour et 62 dB de nuit. La proposition d’installation d’une paroi de BATJ SA pour y remédier comportait toutefois des erreurs, les valeurs d’émissions de bruit du modèle retenues n’étaient pas correctes, le calcul ne tenait pas compte des éléments ressortant de l’emplacement de la PAC ni de la hauteur insuffisante de la paroi par rapport à celle de la PAC. Le SABRA n’appliquait pas à l’intimée ses préconisations ressortant du transport sur place. Étaient joints divers échanges de courriels et messages entre les recourants et l’intimée entre 2019 et 2024 en vue de trouver une solution amiable, laquelle n’avait pas abouti, un courriel du 2 juin 2024 de l’intimée à K______, par lequel la première contestait le montant des honoraires du second, augmenté par rapport à celui prévu, et proposant d’en régler le 60% pour solde de tout compte, ainsi qu’un certificat médical du 14 février 2025 indiquant que le recourant souffrait d’une pathologie nécessitant un environnement adapté, soit notamment une chambre ventilée. k. L’intimée a dupliqué. L’emplacement alternatif proposé par les recourants avait été écarté au motif qu’il se situait à 15 m d’un autre voisin, lequel n’avait pas été consulté. Concernant les honoraires de l’acousticien, celui-ci lui avait adressé une facture après plusieurs relances de sa part du double du montant devisé précédemment en ajoutant des heures de travail. Elle avait alors proposé d’en régler 60% pour solde de tout compte. Les mesures prises par l’huissier le 1er décembre 2024 l’avaient été au rez-de-chaussée, protégé par quatre murs d’enceinte de 2 m de haut et de 20 cm d’épaisseur, et non pas au droit des fenêtres de la chambre des recourants située au premier étage. Les deux mesures ne pouvaient donc pas être comparées. l. Le département a également dupliqué. Lors du transport sur place, le représentant du SABRA avait indiqué que, si la PAC devait être installée à l’intérieur, il faudrait alors créer deux sauts-de-loup, l’un pour la sortie du ventilateur, nécessaire à sa bonne utilisation, et l’autre pour l’évacuation de l’air, ce qui aurait un impact financier important. S’il avait précisé qu’un aménagement à l’intérieur de la maison de cette nouvelle installation permettrait une réduction de l’ordre de 5 dB(A) du bruit émis, celle-ci resterait néanmoins inférieure à celle offerte par les mesures préconisées par l’expertise acoustique figurant au dossier (création d’une paroi de protection), soit 7 dB(A). Il avait également précisé que l’emplacement proposé par les recourants ne permettrait pas non plus d’améliorer la situation par rapport à la solution autorisée. Au vu de l’emplacement choisi et des mesures constructives retenues, lesquels apparaissaient</w:t>
      </w:r>
    </w:p>
    <w:p>
      <w:r>
        <w:t>- 21/32 - A/3289/2022 conformes au principe de prévention imposé par la loi et la jurisprudence y relative, il ne pouvait pas imposer le changement du modèle choisi. Outre le fait qu’il ignorait la méthode utilisée pour prendre les mesures effectuées par l’expert mandaté par les recourants  celle-ci étant contestée par la recourante , il fallait rappeler que dite expertise privée ne constituait qu’un simple allégué au sens de la jurisprudence. m.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Préalablement, les recourants sollicitent l’apport de la procédure A/818/2020 LCI, ainsi que la réalisation d’une expertise par un acousticien. 2.1 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t>- 22/32 - A/3289/2022 2.2 En l’espèce, l’apport de la procédure A/818/2020 LCI n’apparaît pas nécessaire dès lors que la chambre de céans a connaissance des précédents jugement et arrêt rendus concernant l’installation de la PAC de l’intimée  lesquels sont d’ailleurs résumés dans la partie en fait du présent arrêt  et dispose de tous les préavis rendus par le SABRA depuis 17 septembre 2021, date à laquelle l’instruction de l’autorisation de construire litigieuse a été reprise à la suite du renvoi de la chambre de céans. Elle dispose également de l’ensemble des écritures et de la correspondance échangées par les parties depuis cette date-là. Concernant l’expertise judiciaire requise par les recourants, le TAPI a retenu à juste titre qu’une énième expertise judiciaire ne serait pas de nature à influer sur l’issue du litige, dès lors que le dossier comporte le rapport d’un acousticien, mandaté par les parties, du 5 avril 2024, le procès-verbal de constat dressé par un huissier le 1er décembre 2024 à la demande des recourants, ainsi qu’un avis du 24 avril 2024 sur le rapport précité. À cela s’ajoutent les quatre préavis rendus par le SABRA entre les 17 septembre 2021 et 16 juin 2022, lesquels ont consisté à demander des modifications du projet d’installation de PAC de l’intimée et des documents complémentaires, notamment en relation avec les émissions de bruit. Le transport sur place effectué le 15 juin 2023 par le TAPI, en présence des parties et d’un membre du SABRA a également permis d’appréhender concrètement la situation, notamment l’emplacement de la PAC de l’intimée par rapport à la configuration des lieux. Dans son préavis du 16 juin 2022, le SABRA a d’ailleurs lui-même considéré que la réalisation d’une étude par un bureau d’experts, au bénéfice d’un logiciel professionnel de simulation acoustique induirait des résultats peu significatifs sur la réduction du bruit obtenue pour le voisinage, tandis que cette mesure n’était pas jugée économiquement supportable. En ces circonstances, la chambre de céans dispose d’un dossier complet lui permettant de trancher le litige, de sorte qu’il n’y a pas lieu de donner suite aux requêtes d’instruction des recourants. 3. Le litige porte sur la conformité au droit de l’autorisation de construire DD 1______/2 laquelle permet l’installation d’une PAC sur la parcelle de l’intimée. 4. Tout d’abord, les recourants se plaignent d’une constatation inexacte des faits. Le TAPI n’aurait pas tenu compte de faits pertinents. 4.1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- 23/32 - A/3289/2022 tels que l'interdiction de l'arbitraire, l'égalité de traitement, le principe de la bonne foi et le principe de la proportionnalité (ATF 143 III 140 consid. 4.1.3). 4.2 En l’occurrence, les recourants reprochent au TAPI de ne pas avoir pris en considération les faits suivants : - la PAC devait être installée au sous-sol de la villa de l’intimée, lequel avait été réaffecté de manière illicite en logement ; - le modèle de PAC acquis par l’intimée aggravait les nuisances au voisinage ; - la nécessité de changer l’emplacement de la PAC ; - l’inadéquation de la mesure proposée par l’intimée pour réduire les nuisances générées par sa PAC. Il ressort toutefois du jugement attaqué que, dans son considérant 27, le TAPI a expressément examiné précisément et successivement les questions de la mise en place d’une paroi anti-bruit à la demande du SABRA, l’étude des différents emplacements proposés pour la PAC litigieuse par le département et le SABRA en considération des distances mentionnées sur les croquis, les conséquences d’un emplacement intérieur de la PAC  en particulier au regard des déclarations du collaborateur du SABRA lors du transport sur place , de même que l’ampleur de la réalisation de travaux structurels pour l’installation de la PAC entièrement à l’intérieur en sous-sol. Par conséquent, ce grief des recourants, consistant en réalité davantage à reprocher au TAPI de ne pas avoir pris en considération l’ensemble de leurs allégués dans le cadre de l’examen du présent litige, est infondé. 5. Les recourants reprochent à l’autorité intimée une violation des art. 11 al. 2 LPE et 7 OPB, notamment du principe de prévention des émissions de bruit. 5.1 À teneur de l'art. 1 al. 1 let. a de la loi sur les constructions et les installations diverses du 14 avril 1988 (LCI - L 5 05) sur tout le territoire du canton, nul ne peut, sans y avoir été autorisé, élever en tout ou partie une construction ou une installation. Au sens de l'art. 1 let. d LCI,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 L'art. 14 al. 1 LCI prévoit que le département peut refuser les autorisations prévues à l'art. 1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w:t>
      </w:r>
    </w:p>
    <w:p>
      <w:r>
        <w:t>- 24/32 - A/3289/2022 créer, par sa nature, sa situation ou le trafic que provoque sa destination ou son exploitation, un danger ou une gêne durable pour la circulation (let. e). L'art. 14 al. 2 LCI réserve l'application de l'OPB. 5.2 La LPE a pour but de protéger les hommes, les animaux et les plantes, leurs biocénoses et leurs biotopes contre les atteintes nuisibles ou incommodantes, et de conserver durablement les ressources naturelles, en particulier la diversité biologique et la fertilité du sol (art.1 al. 1). Les atteintes qui pourraient devenir nuisibles ou incommodantes seront réduites à titre préventif et assez tôt (art. 1 al. 2).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Selon l'art. 12 LPE, les émissions sont notamment limitées par l'application des valeurs limites d'émissions (al. 1 let. a). Les limitations figurent dans des ordonnances ou, pour les cas que celles-ci n'ont pas visés, dans des décisions fondées directement sur la LPE (al. 2).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 5.3 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t>- 25/32 - A/3289/2022 L'art. 2 OPB prévoit que les installations fixes sont les constructions, les infrastructures destinées au trafic, les équipements des bâtiments et les autres installations non mobiles dont l'exploitation produit du bruit extérieur (al.1 1re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let. b OPB dispose que le degré de sensibilité II est à appliquer dans les zones où aucune entreprise gênante n'est autorisée, notamment dans les zones d'habitation ainsi que celles réservées à des constructions et installations publiques.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 5.4.1 La pompe à chaleur est une installation fixe nouvelle au sens des art. 7 al. 7 LPE et 2 al. 1 OPB, dont l’exploitation produit un bruit extérieur. A ce titre, elle ne peut être construite, en vertu des art. 25 al. 1 LPE et 7 al. 1 let. b OPB, que si les immissions sonores (art. 7 al. 2 i.f. LPE ; bruit au lieu de son effet) qu’elle engendre ne dépassent pas les valeurs de planification fixées à l’annexe 6 de l’OPB (ch. 1</w:t>
      </w:r>
    </w:p>
    <w:p>
      <w:r>
        <w:t>- 26/32 - A/3289/2022 al. 1 let. e de l’annexe 6 à l’OPB). Les émissions de bruit (au sortir de l’installation ;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 il commande ainsi de choisir l’emplacement le moins bruyant (ATF 141 II 476 consid. 3.2 et les références citées ; arrêt du Tribunal cantonal de Fribourg 602 2019 72 du 6 novembre 2019 consid. 2.1). Pour les installations qui respectent les valeurs de planification, des mesures supplémentaires de protection contre le bruit n’entrent toutefois en ligne de compte, à titre préventif, que si elles permettent d’obtenir, à un coût relativement faible, une réduction supplémentaire significative du niveau d’émissions. L’autorité de délivrance du permis de construire ne peut pas se contenter d’accorder aux requérants du permis le choix entre différentes variantes de projet respectant les valeurs de planification. Elle doit au contraire opter pour la mesure qui garantit la meilleure protection contre le bruit dans le cadre du principe de prévention et du principe de proportionnalité (art. 5 al. 2 Cst.). Cela peut également avoir pour conséquence que différentes mesures de protection contre le bruit doivent être ordonnées de manière cumulative (arrêt du Tribunal fédéral 1C_418/2019 du 16 juillet 2020 consid. 3.2 et les références citées ; arrêt du Tribunal cantonal de Fribourg 602 2023 32 du 18 décembre 2023 consid. 4.1). Le choix de la PAC et de son emplacement doit prendre en compte la faisabilité technique et économique des mesures supplémentaires demandées. Les alternatives doivent être évaluées en fonction de leur capacité à réduire globalement les nuisances sonores et non uniquement celles que perçoit le plaignant (arrêt du Tribunal fédéral 1C_569/2022 du 20 février 2024). 5.4.2 Selon l’aide à l’exécution 6.21 pour l’évaluation acoustique des pompes à chaleur air/eau du 1er février 2025 de Cercle Bruit (ci-après : aide à l’exécution), en dessous des valeurs de planification, les réductions de niveau inférieures à 3 dB(A) ne sont pas considérées comme significatives et les mesures qui ont un effet inférieur à cette limite ne doivent donc pas être mises en œuvre. Il y est exposé que</w:t>
      </w:r>
    </w:p>
    <w:p>
      <w:r>
        <w:t>- 27/32 - A/3289/2022 des réductions de niveau supérieures à 3 dB(A) peuvent en principe être obtenues par le biais des mesures de planification à examiner dans un premier temps (installation intérieure de la PAC, choix d’une installation avec un faible niveau de puissance acoustique, optimisation de l’emplacement, mode silencieux) et que, si les coûts engendrés sont relativement faibles (jusqu’à 1% des coûts d’investissement de l’installation de pompe à chaleur), la mesure doit être mise en œuvre. Il est également relevé que les mesures techniques et constructives additionnelles mentionnées au chapitre 2.2.2 et à l’annexe 2 (p. ex. capots d’insonorisation, parois antibruit) permettent également d’obtenir une réduction significative des niveaux de bruit, mais que les coûts de ces mesures dépassent généralement 1% des coûts d’investissement de l’installation de pompe à chaleur de sorte que la proportionnalité de ces mesures n’est pas donnée si les valeurs de planification sont respectées. L’installation intérieure de la pompe à chaleur n’est en règle générale proportionnée au but visé que pour les nouvelles constructions ou lorsque les bâtiments existants disposent déjà des ouvertures nécessaires à l’amenée et la sortie de l’air. Lors du remplacement d’une installation de chauffage, il faut compter avec des coûts de planification et de construction importants de plusieurs milliers de francs pour une installation intérieure (percements de murs, sauts-de-loup pour l’amenée et la sortie de l’air etc. ; aide à l’exécution, n. 2.1 p. 3). En ce qui concerne l’appréciation de l’aide à l’exécution, le Tribunal fédéral a estimé à plusieurs reprises que de telles directives étaient applicables et pouvaient tout à fait servir d’aide à la décision (arrêts du Tribunal fédéral 1C_311/2007 du 21 juillet 2008 consid 3.4 ; 1A.139/2002 du 5 mars 2003 consid. 4.2 ; arrêt du Tribunal cantonal de Fribourg 602 2023 32 précité consid. 4.2). 5.5 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(ATA/874/2020 du 8 septembre 2020 consid. 5a ; ATA/659/2017 du 13 juin 2017 consid. 2b et les références citées).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Ce principe est aussi valable lorsque l’expertise est effectuée par un expert reconnu et expérimenté qui exerce aussi son activité pour les tribunaux. L’expert privé n’est pas objectif et indépendant comme l’est l’expert officiel. Il existe un rapport de mandat entre l’expert privé et la partie privée qui l’a</w:t>
      </w:r>
    </w:p>
    <w:p>
      <w:r>
        <w:t>- 28/32 - A/3289/2022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 5.6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(ATA/1376/2024 du 26 novembre 2024 consid. 4.11 et les références citées).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ATA/1376/2024 précité consid. 4.11 et l'arrêt cité). 5.7 In casu, il apparaît d’emblée que, depuis leur recours interjeté le 3 mars 2020 contre la décision initiale du 4 février 2020, les recourants n’ont cessé de faire valoir les mêmes arguments contre l’installation de la PAC de l’intimée à son emplacement actuel. En premier lieu, ils contestent que celle-ci soit placée en extérieur alors qu’elle devrait l’être à l’intérieur de la villa de l’intimée en sous-sol. En second lieu, ils estiment que, dans l’hypothèse où l’emplacement extérieur devait être maintenu, il conviendrait d’en choisir un autre, plus éloigné de leur propre maison. En maintenant leur position, les recourants se refusent cependant à prendre en considération les éléments ressortant de l’instruction de l’autorisation de construire litigieuse. Entre le 17 septembre 2021 et 16 juin 2022, le SABRA a ainsi émis quatre préavis requérant des modifications du projet de l’intimée afin que celui-ci satisfasse à la législation en vigueur, en particulier en matière d’émissions de bruit. Cet examen minutieux lui a permis de rendre un préavis favorable sous condition le 16 juin 2022, lequel se détermine sur le choix de l’emplacement de la PAC litigieuse (excluant par là-même les deux autres emplacements envisagés en raison de distances insuffisantes avec le voisinage, lesquelles étaient réduites en comparaison</w:t>
      </w:r>
    </w:p>
    <w:p>
      <w:r>
        <w:t>- 29/32 - A/3289/2022 à celle avec la villa des recourants) et requiert la mise en place d’une mesure d’atténuation du bruit. Si la jurisprudence n’autorise pas le libre choix de l’emplacement d’une PAC, elle n’impose cependant pas non plus à l’autorité de délivrance de l’autorisation de construire d’apporter la preuve que l’installation ne pourrait pas être aménagée à un autre endroit. En outre, il est relevé qu’en l’occurrence, la PAC se trouve dans un quartier résidentiel, composé de plusieurs villas les unes à côté des autres. Suivant la configuration de lieux, l’installation d’une PAC est susceptible de générer des inconvénients variables. L’examen des divers emplacements envisagés pour la PAC de l’intimée, dont celui des recourants, a toutefois montré que celui choisi était le plus adéquat, permettant le meilleur respect des valeurs de planification et du principe de prévention. Les divers formulaires Cercle Bruit (des 30 septembre 2021 et 6 avril 2022) remis par l’intimée à la demande du SABRA confirment cette approche. En effet, il en ressort que la valeur de planification de 45 dB(A) est respectée à partir d’une distance de 15 m. À cet égard, il sied de relever que, contrairement aux allégations des recourants, lesdits formulaires ne comportent aucune contradiction dans les chiffres mentionnés, en particulier ceux relatifs au modèle de PAC. Le seul paramètre changeant d’un formulaire à l’autre est bel et bien la distance indiquée (15, 17 ou 18 m). Il en va de même du formulaire Cercle Bruit du 29 avril 2020. De surcroît, ces valeurs sont confirmées par l’expertise mandatée conjointement par les parties le 15 février 2024, le rapport du 5 avril 2024 y relatif mentionnant clairement que celles-ci restent inférieures aux valeurs de planification prévus en 5e zone DS II, soit 55 dB(A) de jour et 45 dB(A) de nuit. En ces circonstances, le constat dressé le 1er décembre 2024 par un huissier à la demande des recourants, sans indication de la méthode employée, ne saurait convaincre, d’autant plus que sa valeur probante se limite à celle d’un allégué de partie, contesté par l’ensemble des intimés à la procédure. Le transport sur place a d’ailleurs également permis de corroborer l’appréciation du SABRA. S’agissant du caractère prétendument illicite des aménagements effectués par l’intimée au sous-sol de sa villa, force est de constater que ceux-ci sont exorbitants à l’objet du présent litige, lequel concerne uniquement l’installation de la PAC de l’intimée. Même dans l’hypothèse où une installation de la PAC à l’intérieur de la villa de l’intimée aurait pu être envisagée, il n’en demeure pas moins que les coûts excessifs engendrées par une telle mesure n’apparaissent pas justifiés compte tenu du fait que la PAC en question à son emplacement actuel et avec la mise en place d’une paroi anti-bruit remplit les conditions pour être admise, notamment celles fixées en matière d’émissions de bruit, et consiste dans une solution analysée avec soin par les spécialistes aux fins de minimiser les nuisances.</w:t>
      </w:r>
    </w:p>
    <w:p>
      <w:r>
        <w:t>- 30/32 - A/3289/2022 S’agissant de la mise en place d’un paroi anti-bruit adéquate, il n’appartient pas à la chambre de céans de se substituer au contrôle de l’autorité administrative compétente. Au vu de ce qui précède, conformément à l’arrêt ATA/309/2021 du 9 mars 2021, force est de constater que l’autorité intimée a concrètement examiné les possibilités d’exiger une réduction supérieure des émissions, dès lors que le SABRA a analysé avec soin les divers emplacements invoqués et demandé la mise en place d’une paroi anti-bruit. En tous points mal fondé, le recours sera rejeté. La demande de mesure provisionnelles et d’effet suspensif devient sans objet vu le prononcé du présent arrêt. 6. Vu l’issue du litige et les mesures superprovionnelles induites par le recours, un émolument de CHF 2’000.- sera mis à la charge des recourants qui succombent. Il ne sera pas alloué d’indemnité de procédure à l’intimée qui comparaît en personne (art. 87 al. 2 LPA ; ATA/85/2022 du 1er février 2022 consid. 20).</w:t>
      </w:r>
    </w:p>
    <w:p>
      <w:r>
        <w:t>* * * * *</w:t>
      </w:r>
    </w:p>
    <w:p>
      <w:r>
        <w:t>- 31/32 - A/3289/2022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