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ATA/47/2025 vom 14. Januar 2025</w:t>
      </w:r>
    </w:p>
    <w:p>
      <w:r>
        <w:t>GE Cour de justice, 2025-01-14, FR</w:t>
      </w:r>
    </w:p>
    <w:p>
      <w:r>
        <w:rPr>
          <w:b/>
        </w:rPr>
        <w:t xml:space="preserve">Quelle: </w:t>
      </w:r>
      <w:r>
        <w:t>https://mcp.opencaselaw.ch/entscheid/ge_gerichte_ATA_47_2025</w:t>
      </w:r>
    </w:p>
    <w:p>
      <w:r>
        <w:t>FR: GE_GERICHTE ATA/47/2025 du 14 janvier 2025</w:t>
      </w:r>
    </w:p>
    <w:p>
      <w:r>
        <w:t>IT: GE_GERICHTE ATA/47/2025 del 14 gennaio 2025</w:t>
      </w:r>
    </w:p>
    <w:p>
      <w:pPr>
        <w:pStyle w:val="Heading2"/>
      </w:pPr>
      <w:r>
        <w:t>Regeste</w:t>
      </w:r>
    </w:p>
    <w:p>
      <w:r>
        <w:t>Résumé: Confirmation de la résiliation des rapports de service d'une fonctionnaire pour motif fondé, en raison de violations répétées de son secret de fonction sur plusieurs années. Une ordonnance pénale la reconnaissant coupable de violation de secret de fonction et d'instigation à violation de secret de fonction a été rendue. Même en tenant compte de sa situation personnelle, de son ancienneté et de ses bons états de service, son comportement consistant, de manière répétée et pendant plusieurs années, à consulter des données confidentielles destinées uniquement à usage professionnel, et de les avoir transmis par la suite à des tiers, est de nature à rompre le lien de confiance avec son employeur. La mesure est dès lors adéquate et nécessaire pour assurer le bon fonctionnement de l'administration et préserver la confiance du public à l'égard de celle-ci, à la suite de l’échec de la procédure de reclassement. Pas de violation du droit d'être entendu de la recourante sous l'angle d'obtenir une décision motivée et respect des principes de la proportionnalité ainsi que de l'égalité de traitement.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- 11/20 - A/656/2024</w:t>
      </w:r>
    </w:p>
    <w:p>
      <w:r>
        <w:rPr>
          <w:b/>
        </w:rPr>
        <w:t>E. 2</w:t>
      </w:r>
    </w:p>
    <w:p>
      <w:r>
        <w:t>La recourante a conclu préalablement à une comparution personnelle des parties ainsi qu’à la production de l’entier de son « dossier personnel et RH » et des décisions rendues par le département ces cinq dernières années en lien avec une violation du secret de fonction.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il a été donné suite à la demande de la recourante s’agissant de la production de son dossier « personnel et RH », lequel comprend notamment les certificats d’incapacité de travail mentionnés lors de son recours. Une audience de comparution personnelle des parties a également eu lieu. S’agissant de la production des décisions rendues en lien avec une violation de secret de fonction, faute d’allégation relative à une inégalité concrète devant la loi, cette demande n’apparaît pas utile à la solution du litige. Elle concerne au surplus des décisions relatives à des tiers comprenant des données confidentielles, si bien que la recourante ne saurait se prévaloir d’un droit d’accès à ces données. Quoi qu’il en soit, chaque situation présente des circonstances particulières qui diffèrent de cas en cas et doit ainsi être appréciée à la lumière de ces circonstances. Il est donc difficile de soutenir que la production de ces décisions permettrait de déterminer si l’intimé a correctement appliqué et respecté le principe d'égalité de traitement dans des cas de violation de secret de fonction dont il a dû se saisir. Partant, la demande de production de décisions rendues par le département en lien avec une violation du secret de fonction les cinq dernières années sera refusée, les autres demandes étant quant à elles devenues sans objet.</w:t>
      </w:r>
    </w:p>
    <w:p>
      <w:r>
        <w:rPr>
          <w:b/>
        </w:rPr>
        <w:t>E. 3</w:t>
      </w:r>
    </w:p>
    <w:p>
      <w:r>
        <w:t>juillet 2023, la seule différence entre les deux décisions étant la réduction de l’amende à titre de sanction immédiate au vu de la prise de conscience de la recourante. Le grief de la violation du droit d’être entendue de la recourante sous l’angle du droit d’obtenir une décision motivée sera par conséquent écarté.</w:t>
      </w:r>
    </w:p>
    <w:p>
      <w:r>
        <w:rPr>
          <w:b/>
        </w:rPr>
        <w:t>E. 3.1</w:t>
      </w:r>
    </w:p>
    <w:p>
      <w:r>
        <w:t>Le droit d’être entendu garanti par l’art. 29 al. 2 Cst. implique notamment, pour l’autorité, l’obligation de motiver sa décision, afin que, d’une part, le destinataire puisse la comprendre, l’attaquer utilement s’il y a lieu et, d’autre part, que l’autorité de recours puisse exercer son contrôle. L’autorité doit ainsi mentionner, au moins brièvement, les motifs qui l’ont guidé et sur lesquels elle a fondé sa décision, de manière à ce que la partie intéressée puisse se rendre compte de la portée de celle‑ci et l’attaquer en connaissance de cause. Elle ne doit toutefois pas se prononcer sur</w:t>
      </w:r>
    </w:p>
    <w:p>
      <w:r>
        <w:t>- 12/20 - A/656/2024 tous les moyens des parties mais peut se limiter aux questions décisives pour l’issue du litige (ATF 147 IV 249 consid. 2.4 ; arrêt du Tribunal fédéral 2C_278/2023 du 10 janvier 2024 consid. 5.1).</w:t>
      </w:r>
    </w:p>
    <w:p>
      <w:r>
        <w:rPr>
          <w:b/>
        </w:rPr>
        <w:t>E. 3.2</w:t>
      </w:r>
    </w:p>
    <w:p>
      <w:r>
        <w:t>En l’espèce, la décision litigieuse renvoie aux faits tels que décrits lors de l’entretien de service du 3 juillet 2023. Ces faits sont, comme l’a rappelé la recourante lors de ses observations du 7 août 2023, identiques à ceux retenus par ordonnance pénale du 2 juin 2023. Compte tenu du renvoi audit entretien, la décision entreprise satisfait aux exigences de motivation au regard de la jurisprudence (ATA/1142/2024 du 1er octobre 2024 consid. 3 et les références citées). Ainsi, contrairement à ce qu’allègue la recourante, elle a pu se déterminer sur les différents reproches formulés à son encontre, tant dans ses notes du 7 août 2023 que dans ses courriers circonstanciés et sa comparution personnelle devant la chambre de céans. De plus, l’intimé a expliqué dans quelle mesure sa prise de conscience avait été prise en compte, dès lors qu’une procédure de reclassement avait été reconsidérée et finalement acceptée. En outre, dans sa décision du 26 janvier 2024, l’autorité intimée a exposé que bien qu’elle ait tenu compte de cette prise de conscience ainsi que des autres remarques de la recourante, celles-ci n’étaient pas de nature à remettre en cause la détermination de la hiérarchie. En ce qui concerne l’absence de mention de l’ordonnance pénale du 29 août 2023 par l’autorité intimée, celle-ci ne saurait être pertinente en l’espèce, dès lors qu’elle reprend à l’identique les faits décrits par l’ordonnance pénale du 2 juin 2023 eux- mêmes repris, comme l’a rappelé la recourante, lors de l’entretien de service du</w:t>
      </w:r>
    </w:p>
    <w:p>
      <w:r>
        <w:rPr>
          <w:b/>
        </w:rPr>
        <w:t>E. 4</w:t>
      </w:r>
    </w:p>
    <w:p>
      <w:r>
        <w:t>La recourante conteste l’existence d’un motif fondé et invoque la violation du principe de la proportionnalité. Les conséquences de la résiliation des rapports de service s’apparenteraient à une révocation, soit une sanction disciplinaire.</w:t>
      </w:r>
    </w:p>
    <w:p>
      <w:r>
        <w:rPr>
          <w:b/>
        </w:rPr>
        <w:t>E. 4.1</w:t>
      </w:r>
    </w:p>
    <w:p>
      <w:r>
        <w:t>En tant que membre du personnel administratif de l’administration cantonale, la recourante est soumise à la LPAC et à ses règlements d’application (art. 1 al. 1 let. a LPAC).</w:t>
      </w:r>
    </w:p>
    <w:p>
      <w:r>
        <w:rPr>
          <w:b/>
        </w:rPr>
        <w:t>E. 4.2</w:t>
      </w:r>
    </w:p>
    <w:p>
      <w:r>
        <w:t>Les devoirs du personnel sont énumérés aux art. 20 et 21 RPAC. Les membres du personnel sont tenus au respect de l’intérêt de l’État et doivent s’abstenir de tout ce qui peut lui porter préjudice (art. 20 RPAC).</w:t>
      </w:r>
    </w:p>
    <w:p>
      <w:r>
        <w:rPr>
          <w:b/>
        </w:rPr>
        <w:t>E. 4.3</w:t>
      </w:r>
    </w:p>
    <w:p>
      <w:r>
        <w:t>En application de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w:t>
      </w:r>
    </w:p>
    <w:p>
      <w:r>
        <w:t>- 13/20 - A/656/2024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w:t>
      </w:r>
    </w:p>
    <w:p>
      <w:r>
        <w:rPr>
          <w:b/>
        </w:rPr>
        <w:t>E. 4.4</w:t>
      </w:r>
    </w:p>
    <w:p>
      <w:r>
        <w:t>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LPAC). L’obligation de garder le secret subsiste après la cessation des rapports de service (art. 9A al. 2 LPAC). Le secret au sens de l'art. 320 du code pénal suisse du 21 décembre 1937 (CP - RS 311.0), qui réprime la violation du secret de fonction,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 arrêt du Tribunal fédéral 6B_532/2017 du 28 février 2018 consid. 2.1).</w:t>
      </w:r>
    </w:p>
    <w:p>
      <w:r>
        <w:rPr>
          <w:b/>
        </w:rPr>
        <w:t>E. 4.5</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notamment en raison de : a) l'insuffisance des prestations ; b) l'inaptitude à remplir les exigences du poste ; c) la disparition durable d'un motif d'engagement.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(ATA/1219/2022 du 6 décembre 2022 consid. 4c et les références citées). Il faut que le comportement de l'employé – dont les manquements sont aussi reconnaissables pour des tiers – perturbe le bon fonctionnement du service ou qu'il</w:t>
      </w:r>
    </w:p>
    <w:p>
      <w:r>
        <w:t>- 14/20 - A/656/2024 soit propre à ébranler le rapport de confiance avec le supérieur (arrêt du Tribunal fédéral 8C_392/2019 du 24 août 2020 consid. 4.1 et 4.2). La notion de motifs fondés doit être concrétisée, dans chaque situation, à la lumière des circonstances du cas d’espèce (ATA/1042/2024 du 3 septembre 2024 consid. 3.3). Les justes motifs de résiliation ordinaire des rapports de service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Le Tribunal fédéral retient qu’un fonctionnaire a l'obligation, pendant et en dehors de son travail, d'adopter un comportement qui inspire le respect et qui soit digne de confiance, et il doit s'abstenir de tout ce qui peut porter atteinte aux intérêts de l'État. En particulier, il doit s'abstenir de tout comportement de nature à entamer la confiance du public en l'intégrité de la fonction publique et des fonctionnaires ou à le rendre moins digne de confiance aux yeux de son employeur. Il est sans importance que le comportement répréhensible ait été connu ou non du public et ait attiré l'attention (arrêts du Tribunal fédéral 8C_448/2019 du 20 novembre 2019 consid. 4.1 ; 8C_252/2018 du 29 janvier 2019 consid. 5.2).</w:t>
      </w:r>
    </w:p>
    <w:p>
      <w:r>
        <w:rPr>
          <w:b/>
        </w:rPr>
        <w:t>E. 4.6</w:t>
      </w:r>
    </w:p>
    <w:p>
      <w:r>
        <w:t>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À titre d’exemple, la chambre administrative a confirmé, dans un arrêt ATA/71/2024 du 23 janvier 2024, une décision de licenciement pour juste motif basé sur la violation du secret de fonction par une aide-soignante, laquelle avait répondu aux questions d’un journaliste et tenu des propos graves à l’encontre de l’établissement pour lequel elle travaillait. Il a été retenu que la rupture de confiance</w:t>
      </w:r>
    </w:p>
    <w:p>
      <w:r>
        <w:t>- 15/20 - A/656/2024 entre l’employeur et la recourante empêchait la poursuite des rapports de service. L’employeur n’avait pas abusé de son pouvoir d’appréciation en ne procédant pas à une procédure de reclassement au vu des faits particulièrement graves, étant précisé cependant que la personne concernée travaillait depuis douze années au sein de l’établissement et n’avait fait l’objet d’aucune mesure disciplinaire.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w:t>
      </w:r>
    </w:p>
    <w:p>
      <w:r>
        <w:rPr>
          <w:b/>
        </w:rPr>
        <w:t>E. 4.7</w:t>
      </w:r>
    </w:p>
    <w:p>
      <w:r>
        <w:t>Les dispositions s’appliquant aux fonctionnaires peuvent être de deux ordres lorsqu’un comportement leur est reproché, comme en l’espèce : soit l’intéressé fait l’objet d’une sanction disciplinaire en raison d’une violation fautive de ses devoirs de fonction et l’art. 16 LPAC est applicable, soit il est licencié pour motif fondé (art. 22 LPAC). Le licenciement pour motif fondé est indépendant de la faute du membre du personnel. En effet, la résiliation des rapports de service fondée sur cette disposition est une mesure administrative qui ne vise pas à punir mais à adapter la composition de la fonction publique dans un service déterminé, aux exigences relatives au bon fonctionnement de ce dernier (ATA/506/2022 du 17 mai 2022 ; ATA/294/2022 du 22 mars 2022). Ces deux procédures doivent être distinguées.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 Contrairement à la révocation, le licenciement ne vise pas à sanctionner un employé pour un comportement déterminé, mais à assurer le bon fonctionnement de l’administration (ATA/842/2021 du 24 août 2021).</w:t>
      </w:r>
    </w:p>
    <w:p>
      <w:r>
        <w:rPr>
          <w:b/>
        </w:rPr>
        <w:t>E. 4.8</w:t>
      </w:r>
    </w:p>
    <w:p>
      <w:r>
        <w:t>Quant à la procédure de reclassement, celle-ci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principe du reclassement, applicable aux seuls fonctionnaires, est une expression du principe de la proportionnalité (art. 5 al. 2 Cst.) et impose à l’État de s’assurer,</w:t>
      </w:r>
    </w:p>
    <w:p>
      <w:r>
        <w:t>- 16/20 - A/656/2024 avant qu’un licenciement ne soit prononcé, qu’aucune mesure moins préjudiciable pour l’administré ne puisse être prise. La loi n’impose toutefois pas à l’État une obligation de résultat, mais celle de mettre en œuvre tout ce qui peut être raisonnablement exigé de lui (ATA/1782/2019 du 10 décembre 2019 consid. 13e).</w:t>
      </w:r>
    </w:p>
    <w:p>
      <w:r>
        <w:rPr>
          <w:b/>
        </w:rPr>
        <w:t>E. 4.9</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 Lorsque les faits reprochés à un membre du personnel peuvent faire l’objet d’une sanction civile ou pénale, l’autorité disciplinaire administrative applique, dans les meilleurs délais, les dispositions des art. 16 (sanctions disciplinaires), 21 (résiliation des rapports de service) et 27 (enquête administrative) LPAC.</w:t>
      </w:r>
    </w:p>
    <w:p>
      <w:r>
        <w:rPr>
          <w:b/>
        </w:rPr>
        <w:t>E. 4.10</w:t>
      </w:r>
    </w:p>
    <w:p>
      <w:r>
        <w:t>En l’espèce, la recourante ne conteste pas les faits qui lui sont reprochés, soit les multiples violations de secret de fonction pour lesquelles elle a été condamnée par ordonnance pénale du 29 août 2023 et dont l’état de fait lie la chambre administrative. Elle considère cependant le licenciement pour motif fondé comme disproportionné au vu de sa prise de conscience, de son ancienneté, de ses bons états de service et de sa situation personnelle. Selon la recourante, une mesure moins incisive aurait dû être privilégiée. Les faits en cause, reconnus par la recourante, sont particulièrement graves et à même de rompre le lien de confiance entre l’intéressée et son employeur, que cela soit en raison du contenu des informations transmises, de la répétition des agissements de la recourante ou de la durée de ceux-ci. Cette appréciation se justifie d’autant plus que contrairement à ce qu’elle allègue, elle connaissait, lors de ses agissements illicites, la gravité de ces derniers et les conséquences qui pouvaient en découler. En effet, elle avait confirmé, par sa signature, en 1996 et 2009, avoir pris connaissance de la confidentialité des données qu’elle traitait ainsi que des conséquences d’une violation du secret de fonction, qu’elles soient administratives ou pénales. La recourante ne saurait prétendre ne pas s’être rendue compte que ses agissements pouvaient entraîner un licenciement dès lors que J______ lui avait fait part de ses inquiétudes, en lui indiquant notamment « Si elle [s]ort de chez toi je suis morte et toi aussi ». La recourante a en outre expliqué à P______ : « Par contre la photo que je t’ai envoyée ce n’est pas moi car je peux me faire virer !!!! ». Elle savait risquer un licenciement si sa hiérarchie venait à apprendre son comportement illicite. Elle n’a pourtant pas hésité, sans égard pour la sphère privée des personnes concernées, à transmettre à des tiers leurs données strictement confidentielles. En agissant ainsi, la recourante a accepté le risque de subir de telles conséquences. Que les informations transmises eussent été utilisées à des fins privées ne rend pas</w:t>
      </w:r>
    </w:p>
    <w:p>
      <w:r>
        <w:t>- 17/20 - A/656/2024 les violations moins graves. De plus, la chambre administrative ne peut suivre son argument selon lequel une grande partie des informations recueillies et/ou transmises, telles que le lieu de domicile et la situation professionnelle, doivent être considérées comme « futiles » (cf. n. 38 p. 15 du recours). Cela suggère que la recourante n’a, à ce jour, toujours pas totalement pris conscience de son comportement illicite. Son licenciement est ainsi apte à assurer le secret de données confidentielles de justiciables et à préserver la confiance de ces derniers dans la fonction publique. Il est également nécessaire, aucune mesure moins incisive n’étant de nature à garantir les intérêts publics concernés. Il respecte finalement le sous-principe de la proportionnalité au sens étroit. En effet, si l’intérêt privé de la recourante à conserver son emploi est important, il doit céder le pas à l’intérêt public primordial de la confidentialité des informations privées en possession de l’administration. Au vu de la jurisprudence précitée, de la répétition des actes, pendant plusieurs années et de la gravité des fautes de l’intéressée, du fait qu’il s’agit d’un licenciement ordinaire et du caractère aisément reconnaissable de l’inadéquation du comportement adopté, le principe de la proportionnalité est par conséquent respecté. Quant à l’argument selon lequel les conséquences du licenciement s’apparenteraient à une révocation, on ne voit pas ce que la recourante pourrait en tirer quand bien même il serait avéré. En effet, il ressort clairement du dossier que la résiliation des rapports de service prononcée à l’encontre de la recourante ne relève pas d’une sanction disciplinaire mais d’une mesure administrative. L’autorité intimée a d’ailleurs dûment informé la recourante, que ce soit lors de l’entretien de service du 3 juillet 2023, la décision d’ouverture de la procédure de reclassement du 8 septembre 2023 ou la décision du 26 janvier 2024, que les éléments qui lui étaient reprochés étaient constitutifs d’un motif fondé de résiliation des rapports de service, à savoir une insuffisance de prestations (art. 22 let. a LPAC). Le département ne recherche ainsi pas à punir la recourante mais à permettre le bon fonctionnement de l’administration cantonale, étant rappelé que selon la jurisprudence, l’employeur public est en principe libre, en cas de manquements aux devoirs de la charge, de choisir la voie de la résiliation ordinaire plutôt que celle de la révocation, ce qui est du reste aussi favorable à l’agent public dès lors que la résiliation ordinaire est moins stigmatisante. Quant à la procédure de reclassement, qui concrétise aussi le principe de la proportionnalité (arrêt du Tribunal fédéral 8C_392/2019 du 24 août 2020 consid. 4.3.3), elle apparaît avoir été effectuée de manière conforme au droit, compte tenu des circonstances. La décision de refus de la prolongation de ladite procédure par l’intimé n’a de plus pas été contestée par la recourante qui déclare, lors de son courrier du 10 novembre 2023, en avoir pris note. En outre, les attestations médicales produites ne démontrent pas en quoi les causes somatiques auraient empêché la recourante d’effectuer activement des recherches d’emploi.</w:t>
      </w:r>
    </w:p>
    <w:p>
      <w:r>
        <w:t>- 18/20 - A/656/2024</w:t>
      </w:r>
    </w:p>
    <w:p>
      <w:r>
        <w:rPr>
          <w:b/>
        </w:rPr>
        <w:t>E. 5</w:t>
      </w:r>
    </w:p>
    <w:p>
      <w:r>
        <w:t>La recourante soulève enfin le grief de violation du principe de l’égalité de traitement.</w:t>
      </w:r>
    </w:p>
    <w:p>
      <w:r>
        <w:rPr>
          <w:b/>
        </w:rPr>
        <w:t>E. 5.1</w:t>
      </w:r>
    </w:p>
    <w:p>
      <w:r>
        <w:t>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La protection de l’égalité (art. 8 Cst.) et celle contre l’arbitraire (art. 9 Cst.) sont étroitement liées.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rPr>
          <w:b/>
        </w:rPr>
        <w:t>E. 5.2</w:t>
      </w:r>
    </w:p>
    <w:p>
      <w:r>
        <w:t>En l’espèce, la recourante ne porte pas à la connaissance de la chambre de céans des exemples de fonctionnaires occupant la même fonction qu’elle, qui auraient, par des actes s’approchant de ceux qui lui sont reprochés, violé, à plusieurs reprises, leur secret de fonction, justifiant le prononcé d’une condamnation pénale similaire mais à l’égard desquels l’intimé aurait fait part de plus d’indulgence. Elle n’a par ailleurs pas démontré l’existence d’une pratique illégale du département en matière de résiliation ordinaire des rapports de service. Elle échoue en conséquence à prouver que l’autorité intimée aurait violé le principe de l’égalité de traitement et son grief sera dès lors écarté. La recourante ne soulève – à raison – pas de grief relatif au certificat de travail intermédiaire, bien que contesté au cours de la procédure de reclassement, de sorte que la chambre administrative considèrera, que celui-ci ne fait plus l’objet du litige. Au vu des considérants qui précèdent, il n’y a pas lieu d’examiner les conclusions de la recourante tendant à sa réintégration. Entièrement mal fondé, le recours sera par conséquent rejeté.</w:t>
      </w:r>
    </w:p>
    <w:p>
      <w:r>
        <w:rPr>
          <w:b/>
        </w:rPr>
        <w:t>E. 6</w:t>
      </w:r>
    </w:p>
    <w:p>
      <w:r>
        <w:t>Vu l'issue du litige, un émolument de CHF 1'000.- tenant compte de la décision sur effet suspensif ainsi que de l’audience, sera mis à la charge de la recourante, qui</w:t>
      </w:r>
    </w:p>
    <w:p>
      <w:r>
        <w:t>- 19/20 - A/656/2024 succombe (art. 87 al. 1 LPA), et aucune indemnité de procédure ne sera octroyée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