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ATA/47/2020 vom 20. Januar 2020</w:t>
      </w:r>
    </w:p>
    <w:p>
      <w:r>
        <w:t>GE Cour de justice, 2020-01-20, FR</w:t>
      </w:r>
    </w:p>
    <w:p>
      <w:r>
        <w:rPr>
          <w:b/>
        </w:rPr>
        <w:t xml:space="preserve">Quelle: </w:t>
      </w:r>
      <w:r>
        <w:t>https://mcp.opencaselaw.ch/entscheid/ge_gerichte_ATA_47_2020</w:t>
      </w:r>
    </w:p>
    <w:p>
      <w:r>
        <w:t>FR: GE_GERICHTE ATA/47/2020 du 20 janvier 2020</w:t>
      </w:r>
    </w:p>
    <w:p>
      <w:r>
        <w:t>IT: GE_GERICHTE ATA/47/2020 del 20 gennaio 2020</w:t>
      </w:r>
    </w:p>
    <w:p>
      <w:pPr>
        <w:pStyle w:val="Heading2"/>
      </w:pPr>
      <w:r>
        <w:t>Erwägungen</w:t>
      </w:r>
    </w:p>
    <w:p>
      <w:r>
        <w:rPr>
          <w:b/>
        </w:rPr>
        <w:t>E. 18</w:t>
      </w:r>
    </w:p>
    <w:p>
      <w:r>
        <w:t>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6)</w:t>
      </w:r>
    </w:p>
    <w:p>
      <w:r>
        <w:t>En vertu de l’art. 76 al. 1 let. b LEI, après notification d’une décision de première instance de renvoi ou d’expulsion au sens de la LEI ou une décision de première instance d’expulsion au sens notamment des art. 66a ou 66abis du Code pénal suisse du 21 décembre 1937 (CP - RS 311.0), l’autorité compétente peut, afin d’en assurer l’exécution, mettre en détention la personne concernée si elle a été condamnée pour crime.</w:t>
      </w:r>
    </w:p>
    <w:p>
      <w:r>
        <w:t>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w:t>
      </w:r>
    </w:p>
    <w:p>
      <w:r>
        <w:t>Ces chiffres 3 et 4 de l’art. 76 al. 1 let. b LEI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w:t>
      </w:r>
    </w:p>
    <w:p>
      <w:r>
        <w:t>- 8/12 - A/4737/2019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1er mars 2013 consid. 4.2 ; ATF 140 II 1 précité).</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7)</w:t>
      </w:r>
    </w:p>
    <w:p>
      <w:r>
        <w:t>En l’espèce, le recourant fait l'objet d'une décision de renvoi en force.</w:t>
      </w:r>
    </w:p>
    <w:p>
      <w:r>
        <w:t>Persistant à ne pas vouloir retourner en Tunisie, il n’a entrepris aucune démarche en vue de son départ. Au contraire, il s’y est toujours opposé et déclare s’y opposer encore. Toxicomane avéré, il a fait l'objet de plusieurs condamnations pénales.</w:t>
      </w:r>
    </w:p>
    <w:p>
      <w:r>
        <w:t>Les conditions légales susmentionnées pour ordonner sa mise en détention administrative sont ainsi manifestement remplies, ce que le recourant ne remet du reste pas en cause dans son acte de recours. 8)</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LEI, les démarches nécessaires à l’exécution du renvoi ou de l’expulsion doivent être entreprises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arrêts du Tribunal fédéral 2C_1132/2018 du 21 janvier 2019 consid. 3.3 ; 2C_1106/2018 du 4 janvier 2019 consid. 3.3.2).</w:t>
      </w:r>
    </w:p>
    <w:p>
      <w:r>
        <w:t>- 9/12 - A/4737/2019</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 9)</w:t>
      </w:r>
    </w:p>
    <w:p>
      <w:r>
        <w:t>En l’espèce, les autorités compétentes ont entrepris avec suffisamment de célérité les démarches nécessaires à la réservation d'un vol de ligne, dès lors qu'une place est réservée dans un avion le 24 janvier 2020, et que des assurances leur ont été données par les autorités consulaires tunisiennes qu'un laissez-passer serait établi avant cette date.</w:t>
      </w:r>
    </w:p>
    <w:p>
      <w:r>
        <w:t>Certes, la réservation du billet d'avion a eu lieu le 2 janvier 2020, soit après l'audience devant le TAPI. Cela étant, le recourant a été mis en détention administrative le 27 décembre 2019 ; or, selon la jurisprudence précitée, une inaction des autorités pendant six jours seulement, et donc très inférieure à deux mois, n'est pas propre à entraîner un constat de violation du principe de célérité, ce d'autant qu'en l'espèce ces six jours incluaient deux jours fériés genevois, soit le 31 décembre et le 1er janvier.</w:t>
      </w:r>
    </w:p>
    <w:p>
      <w:r>
        <w:t>Quant à la durée de la mesure, qui n'est pas contestée en tant que telle par le recourant, elle est adéquate. Comme l'a relevé le TAPI, elle permettra le cas échéant aux autorités suisses d'entamer les démarches pour organiser un autre vol ou de requérir la prolongation de la détention.</w:t>
      </w:r>
    </w:p>
    <w:p>
      <w:r>
        <w:t>La détention administrative respecte ainsi le principe de la proportionnalité. 10)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w:t>
      </w:r>
    </w:p>
    <w:p>
      <w:r>
        <w:t>- 10/12 - A/4737/2019 concrètement en danger, par exemple en cas de guerre, de guerre civile, de violence généralisée ou de nécessité médicale (al. 4).</w:t>
      </w:r>
    </w:p>
    <w:p>
      <w:r>
        <w:t>b. S'agissant des problèmes médicaux, selon la jurisprudence de la Cour européenne des droits de l'homme (ci-après : CourEDH), le retour forcé des personnes touchées dans leur santé est susceptible de constituer une violation de l'art. 3 CEDH si l'intéressé se trouve à un stade de sa maladie avancé et terminal, au point que sa mort apparaît comme une perspective proche (ACEDH N. contre Royaume-Uni du 27 mai 2008, req. 26565/05, confirmé par les arrêts Yoh-Ekale Mwanje c. Belgique du 20 décembre 2011, req. 10486/10 ; S.H.H. c. Royaume-Uni du 29 janvier 2013, req. 60367/10 ; Josef c. Belgique du 27 février 2014, req. 70055/10 ; A.S. c. Suisse du 30 juin 2015, req. 39350/13, § 31 à 33).</w:t>
      </w:r>
    </w:p>
    <w:p>
      <w:r>
        <w:t>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(ACEDH Paposhvili c. Belgique du 13 décembre 2016, req. 41738/10, § 183 ; arrêt du Tribunal administratif fédéral E-6441/2018 du 4 janvier 2019 consid. 3.5.2. et 3.5.3). 11) En l'espèce, le recourant avance que la poursuite de son traitement en Suisse doit primer son renvoi, sans toutefois donner aucune indication ni produire aucune pièce à ce sujet. Il ressort du dossier que le recourant est toxicomane ; il a également indiqué au commissaire de police, le 27 décembre 2019, suivre un traitement pour des problèmes de tension, d'asthme et d'addiction à la drogue. Sans plus de précision, ces éléments ne permettent pas de penser que l'exécution de son renvoi conduirait à une situation propre, selon la jurisprudence précitée, à constater une inexigibilité de celui-ci.</w:t>
      </w:r>
    </w:p>
    <w:p>
      <w:r>
        <w:t>Le recours, mal fondé, sera ainsi rejeté. 12) Vu la nature du litige, aucun émolument ne sera perçu (art. 87 al. 1 de la loi sur la procédure administrative du 12 septembre 1985 (LPA - E 5 10 et art. 12 al. 1 du règlement sur les frais, émoluments et indemnités en procédure administrative du 30 juillet 1986 - RFPA - E 5 10.03). Vu l’issue de celui-ci, aucune indemnité de procédure ne sera allouée (art. 87 al. 2 LPA).</w:t>
      </w:r>
    </w:p>
    <w:p>
      <w:r>
        <w:t>* * * * *</w:t>
      </w:r>
    </w:p>
    <w:p>
      <w:r>
        <w:t>- 11/12 - A/4737/2019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