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ATA/47/2012 vom 24. Januar 2012</w:t>
      </w:r>
    </w:p>
    <w:p>
      <w:r>
        <w:t>GE Cour de justice, 2012-01-24, FR</w:t>
      </w:r>
    </w:p>
    <w:p>
      <w:r>
        <w:rPr>
          <w:b/>
        </w:rPr>
        <w:t xml:space="preserve">Quelle: </w:t>
      </w:r>
      <w:r>
        <w:t>https://mcp.opencaselaw.ch/entscheid/ge_gerichte_ATA_47_2012</w:t>
      </w:r>
    </w:p>
    <w:p>
      <w:r>
        <w:t>FR: GE_GERICHTE ATA/47/2012 du 24 janvier 2012</w:t>
      </w:r>
    </w:p>
    <w:p>
      <w:r>
        <w:t>IT: GE_GERICHTE ATA/47/2012 del 24 gennaio 2012</w:t>
      </w:r>
    </w:p>
    <w:p>
      <w:pPr>
        <w:pStyle w:val="Heading2"/>
      </w:pPr>
      <w:r>
        <w:t>Erwägungen</w:t>
      </w:r>
    </w:p>
    <w:p>
      <w:r>
        <w:rPr>
          <w:b/>
        </w:rPr>
        <w:t>E. 1</w:t>
      </w:r>
    </w:p>
    <w:p>
      <w:r>
        <w:t>La recourante est devenue majeure le 7 décembre dernier, soit en cours de procédure. Le présent arrêt lui sera donc directement notifié.</w:t>
      </w:r>
    </w:p>
    <w:p>
      <w:r>
        <w:rPr>
          <w:b/>
        </w:rPr>
        <w:t>E. 2</w:t>
      </w:r>
    </w:p>
    <w:p>
      <w:r>
        <w:t>Interjeté en temps utile devant la juridiction compétente, le recours est à cet égard recevable (art. 132 de la loi sur l'organisation judiciaire du 26 septembre 2010 (LOJ - E 2 05) et 30 du règlement de l'enseignement secondaire du 14 octobre 1998 - RES - C 1 10.24 ; 62 al. 1 de la loi sur la procédure administrative du 12 septembre 1985 - LPA - E 5 10).</w:t>
      </w:r>
    </w:p>
    <w:p>
      <w:r>
        <w:rPr>
          <w:b/>
        </w:rPr>
        <w:t>E. 3</w:t>
      </w:r>
    </w:p>
    <w:p>
      <w:r>
        <w:t>Il convient préalablement d’examiner la recevabilité du recours au regard de l’art. 65 LPA.</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La jurisprudence relative à cette disposition a été récemment rappelée à l’ATA/596/2011 du 20 septembre 2011, consid. 2 ss, auquel on peut donc se référer. En bref, le fait que des conclusions formelles ne ressortent pas expressément de l’acte de recours n’est pas en soi un motif d’irrecevabilité, pourvu que la chambre et la partie adverse puissent comprendre avec certitude les fins du recourant.</w:t>
      </w:r>
    </w:p>
    <w:p>
      <w:r>
        <w:t>En l’espèce, la recourante, qui comparaît en personne, n’a pas pris de conclusions formelles, se limitant à demander à la chambre de céans qu’elle lui</w:t>
      </w:r>
    </w:p>
    <w:p>
      <w:r>
        <w:t>- 6/9 -</w:t>
      </w:r>
    </w:p>
    <w:p>
      <w:r>
        <w:t>A/2948/2010</w:t>
      </w:r>
    </w:p>
    <w:p>
      <w:r>
        <w:t>donne « une deuxième chance ». Son acte de recours se résume en effet à une lettre rappelant de façon toute générale l’objet du présent litige. Elle n’a par ailleurs produit aucune pièce si ce n’est la décision attaquée. Cela étant, l’on peut déduire des termes utilisés que la recourante conclut à l’annulation de la décision attaquée, estimant qu’un redoublement doit lui être autorisé. Dans ces circonstances, il convient d’entrer en matière.</w:t>
      </w:r>
    </w:p>
    <w:p>
      <w:r>
        <w:rPr>
          <w:b/>
        </w:rPr>
        <w:t>E. 4</w:t>
      </w:r>
    </w:p>
    <w:p>
      <w:r>
        <w:t>La chambre applique le droit d'office. Elle ne peut pas aller au-delà des conclusions des parties, sans toutefois être liée par les motifs invoqués (cf. art. 69 LPA) ni par l'argumentation juridique développée dans la décision entreprise (P. MOOR/E. POLTIER, Droit administratif, vol. II, 2011, p. 300 ss.). Le recours peut être formé pour violation du droit y compris l’excès et l’abus du pouvoir d’appréciation, ainsi que pour constatation inexacte ou incomplète des faits pertinents (art. 61 al. 1 LPA). La chambre n’a toutefois pas compétence pour apprécier l’opportunité de la décision attaquée, sauf exception prévue par la loi (art. 61 al. 2 LPA) et non réalisée en l’espèce.</w:t>
      </w:r>
    </w:p>
    <w:p>
      <w:r>
        <w:rPr>
          <w:b/>
        </w:rPr>
        <w:t>E. 5</w:t>
      </w:r>
    </w:p>
    <w:p>
      <w:r>
        <w:t>La recourante fait valoir, en substance, que l’autorité intimée aurait dû l’autoriser à répéter sa première année, se plaignant de ce que l’opération médicale subie en août 2010 n’aurait pas été suffisamment prise en considération.</w:t>
      </w:r>
    </w:p>
    <w:p>
      <w:r>
        <w:t>a. Selon l’art. 44A de la loi sur l’instruction publique du 6 novembre 1940 (LIP – C 1 10), l’ECG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w:t>
      </w:r>
    </w:p>
    <w:p>
      <w:r>
        <w:t>b. L’art. 47 al. 1 LIP délègue au Conseil d’Etat le pouvoir d’établir les conditions d’admission, de promotion et d’obtention des titres. Sur cette base, le Conseil d’Etat a adopté le RES.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w:t>
      </w:r>
    </w:p>
    <w:p>
      <w:r>
        <w:t>- 7/9 -</w:t>
      </w:r>
    </w:p>
    <w:p>
      <w:r>
        <w:t>A/2948/2010</w:t>
      </w:r>
    </w:p>
    <w:p>
      <w:r>
        <w:t>c. Dans ce cadre, l’autorité scolaire bénéficie d’un très large pouvoir d’appréciation (ATA/634/2001 du 9 octobre 2001, consid. 10), dont la chambre ne censure que l’abus ou l’excès (cf. consid. 4 supra).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1994, p. 376 ss et les références citées).</w:t>
      </w:r>
    </w:p>
    <w:p>
      <w:r>
        <w:t>En l’espèce, il ressort de la décision attaquée que la recourante n’a pas suivi les cours de manière régulière, ayant cumulé, sur l’année, quarante-deux heures d’absence, dont sept non motivées. Son attitude en classe n’était également pas adéquate. En plus d’être extrêmement bavarde, ses enseignants avaient relevé chez elle un manque de travail et de concentration. Il était probable que l’opération médicale subie en août 2010 ait pu avoir une influence sur son moral. Par la suite toutefois, aucune amélioration des résultats n’était survenue. Ceux-ci avaient même, pour une grande partie, connu une baisse. Des lacunes et un manque d’intérêt constituaient un obstacle réel pour la suite de sa scolarité. Les résultats obtenus et les commentaires des maîtres démontraient clairement qu’elle n’avait pas atteint les buts assignés à la filière de culture générale. Le pronostic de réussite semblait faible.</w:t>
      </w:r>
    </w:p>
    <w:p>
      <w:r>
        <w:t>Ces motifs sont pertinents et relèvent tous de l’art. 22 RES. Certes, il n’est pas en soi déterminant que la recourante ait manqué quarante-heures de cours durant l’année, dès lors que ce nombre peut certainement s’expliquer par l’opération médicale subie en août 2010 (dont il est toutefois surprenant qu’elle n’ait pas fait état dans sa demande initiale du 19 juin 2011) et que seules sept d’entre elles seraient non motivées. Il n’en reste pas moins que le comportement adopté (manque de motivation, arrivées tardives, nombreux devoirs non faits, oublis et renvois) - de surcroît marqué par une péjoration lors du second semestre, alors que la recourante (comme ses parents, à qui en outre les bulletins scolaires ont été soumis pour signature) avait été expressément rendue attentive à la nécessité d’en changer en milieu d’année -, couplé à l’ampleur de l’échec et de ses lacunes, permettait à l’autorité intimée de refuser de l’autoriser à répéter son année sans mésuser de son pouvoir d’appréciation. Cela étant, force est de constater que l’opération médicale et ses conséquences ne sauraient prévaloir au point de reléguer au second plan ces éléments. En tout état, il n’est pas allégué sérieusement, ni plus démontré, que la conférence des maîtres ou son responsable de groupe aurait à tort refusé de proposer à la direction de l’autoriser à répéter son année ou encore qu’elle se serait trouvée dans un cas exceptionnel ayant commandé à la direction de le faire spontanément. Subséquemment, la décision</w:t>
      </w:r>
    </w:p>
    <w:p>
      <w:r>
        <w:t>- 8/9 -</w:t>
      </w:r>
    </w:p>
    <w:p>
      <w:r>
        <w:t>A/2948/2010</w:t>
      </w:r>
    </w:p>
    <w:p>
      <w:r>
        <w:t>attaquée, qui repose sur des motifs clairement identifiés et objectifs, ne viole pas l’art. 22 RES. Le moyen, infondé, doit donc être rejeté.</w:t>
      </w:r>
    </w:p>
    <w:p>
      <w:r>
        <w:rPr>
          <w:b/>
        </w:rPr>
        <w:t>E. 6</w:t>
      </w:r>
    </w:p>
    <w:p>
      <w:r>
        <w:t>Au vu de ce qui précède, le recours sera rejeté. Un émolument de procédure de CHF 400.-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