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ATA/478/2015 vom 19. Mai 2015</w:t>
      </w:r>
    </w:p>
    <w:p>
      <w:r>
        <w:t>GE Cour de justice, 2015-05-19, FR</w:t>
      </w:r>
    </w:p>
    <w:p>
      <w:r>
        <w:rPr>
          <w:b/>
        </w:rPr>
        <w:t xml:space="preserve">Quelle: </w:t>
      </w:r>
      <w:r>
        <w:t>https://mcp.opencaselaw.ch/entscheid/ge_gerichte_ATA_478_2015</w:t>
      </w:r>
    </w:p>
    <w:p>
      <w:r>
        <w:t>FR: GE_GERICHTE ATA/478/2015 du 19 mai 2015</w:t>
      </w:r>
    </w:p>
    <w:p>
      <w:r>
        <w:t>IT: GE_GERICHTE ATA/478/2015 del 19 maggio 2015</w:t>
      </w:r>
    </w:p>
    <w:p>
      <w:pPr>
        <w:pStyle w:val="Heading2"/>
      </w:pPr>
      <w:r>
        <w:t>Erwägungen</w:t>
      </w:r>
    </w:p>
    <w:p>
      <w:r>
        <w:rPr>
          <w:b/>
        </w:rPr>
        <w:t>E. 12</w:t>
      </w:r>
    </w:p>
    <w:p>
      <w:r>
        <w:t>septembre 1985 - LPA - E 5 10). 2)</w:t>
      </w:r>
    </w:p>
    <w:p>
      <w:r>
        <w:t>Les copropriétaires contestent devoir la taxe d’équipement de CHF 126'200.96. 3)</w:t>
      </w:r>
    </w:p>
    <w:p>
      <w:r>
        <w:t>L'art. 22 LAT prévoit qu'aucune construction ou installation ne peut être créée ou transformée sans autorisation de l'autorité compétente (al. 1). L'autorisation est délivrée si la construction ou l'installation est conforme à l'affectation de la zone et si le terrain est équipé (al. 2). Le droit fédéral et le droit cantonal peuvent poser d'autres conditions (al. 3).</w:t>
      </w:r>
    </w:p>
    <w:p>
      <w:r>
        <w:t>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LAT).</w:t>
      </w:r>
    </w:p>
    <w:p>
      <w:r>
        <w:t>Les zones à bâtir sont équipées par la collectivité intéressée dans le délai prévu par le programme d'équipement. La précision « si nécessaire de manière échelonnée » a été ajoutée dans la modification de la LAT entrée en vigueur le 1er mai 2014 (art. 19 al. 2 1ère phr. LAT).</w:t>
      </w:r>
    </w:p>
    <w:p>
      <w:r>
        <w:t>Le droit cantonal règle la participation financière des propriétaires fonciers (art. 19 al. 2 2ème phr. LAT). 4)</w:t>
      </w:r>
    </w:p>
    <w:p>
      <w:r>
        <w:t>Cette législation est largement complétée par le droit cantonal.</w:t>
      </w:r>
    </w:p>
    <w:p>
      <w:r>
        <w:t>a. Les dispositions de la loi générale sur les zones de développement du 29 juin 1957 (LGZD - L 1 35) fixent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(art. 1 LGZD).</w:t>
      </w:r>
    </w:p>
    <w:p>
      <w:r>
        <w:t>La délivrance d’autorisations de construire selon les normes d’une zone de développement est subordonnée, sous réserve des demandes portant sur des objets</w:t>
      </w:r>
    </w:p>
    <w:p>
      <w:r>
        <w:t>- 7/12 - A/832/2014 de peu d’importance ou provisoires, à l’approbation préalable par le Conseil d’État, notamment d’un PLQ au sens de l’art. 3, assorti d’un règlement (art. 2 al. 1 let. a LGZD).</w:t>
      </w:r>
    </w:p>
    <w:p>
      <w:r>
        <w:t>Les plans localisés de quartier prévoient notamment le périmètre d’implantation, le gabarit et la destination des bâtiments à construire, les espaces libres, privés ou publics, notamment les places, promenades, espaces verts et places de jeux pour enfants, les terrains réservés aux équipements publics, la végétation à sauvegarder ou à créer, les places de parcage et les garages et un concept énergétique territorial au sens de l'art. 6 al. 12 de la loi sur l'énergie, du 18 septembre 1986 (LEn - L 2.30 ; art. 3 al. 1 LGZD).</w:t>
      </w:r>
    </w:p>
    <w:p>
      <w:r>
        <w:t>Ils prévoient aussi les éléments de base du programme d’équipement, soit le tracé des voies de communication projetées et les modifications à apporter aux voies existantes, ainsi que les alignements le long ou en retrait de ces voies, en distinguant les voies publiques cantonales, communales ou privées ; dans tous les cas, il est tenu compte de la protection du cadre de vie, des emprises qui doivent être cédées gratuitement au domaine public, des conduites d’eau et d’énergie ainsi que des systèmes d’assainissement des eaux usées et pluviales nouveaux ou existants, établis en coordination avec la planification pouvant résulter d’autres instruments. Sont également prévus, le cas échéant, les secteurs contraignants de gestion des eaux pluviales, conformément au plan général d’évacuation des eaux de la commune (art. 3 al. 2 LGZD).</w:t>
      </w:r>
    </w:p>
    <w:p>
      <w:r>
        <w:t>Les plans localisés de quartier sont accompagnés d’un règlement de quartier qui détermine notamment la répartition des frais de construction des voies de communication et de leur équipement, selon accord préalable avec l’autorité municipale ainsi que la répartition du coût des terrains destinés à des installations d’intérêt public (art. 4 al. 1 let. a et c LGZD).</w:t>
      </w:r>
    </w:p>
    <w:p>
      <w:r>
        <w:t>À défaut de règlement de quartier adopté spécialement ou de conventions particulières, les dispositions du règlement type annexé au règlement d’exécution de la LGZD sont applicables et le Conseil d’État fixe de cas en cas les participations aux frais d’équipement et les conditions relatives à la limitation des loyers ou des prix (art. 4 al. 2 LGZD).</w:t>
      </w:r>
    </w:p>
    <w:p>
      <w:r>
        <w:t>En règle générale, les prestations prévues à l’art. 4 al. 1 let. a et c LGZD, sont assurées par le paiement d’une taxe d’équipement calculée en fonction des frais d’équipement public du quartier considéré, de l’importance et de la destination des constructions et installations projetées (art. 4 al. 3 LGZD).</w:t>
      </w:r>
    </w:p>
    <w:p>
      <w:r>
        <w:t>b. Par frais d'équipement public, il faut entendre le coût de réalisation ou de modification des voies de communication publiques prévues par le programme d’équipement tel que défini à l’art. 3 al. 2 let. a LGZD, y compris leurs</w:t>
      </w:r>
    </w:p>
    <w:p>
      <w:r>
        <w:t>- 8/12 - A/832/2014 canalisations (art. 9 al. 1 du règlement d'application de la loi générale sur les zones de développement du 20 décembre 1978 - RGZD - L 1 35.01).</w:t>
      </w:r>
    </w:p>
    <w:p>
      <w:r>
        <w:t>Le PLQ ainsi que le règlement de quartier doivent contenir les indications précises à propos des équipements qui devront être assumés par la collectivité et ceux assumés par les propriétaires (art. 9 al. 2 RGZD).</w:t>
      </w:r>
    </w:p>
    <w:p>
      <w:r>
        <w:t>Le débiteur de la taxe d'équipement au sens de l'article 4 de la LGZD est le propriétaire ou le superficiaire du terrain sur lequel doit être érigé le projet qui fait l'objet d'une autorisation définitive de construire (art. 10 al. 1 RGZD).</w:t>
      </w:r>
    </w:p>
    <w:p>
      <w:r>
        <w:t>La taxe d'équipement est due par chaque propriétaire ou superficiaire à raison de l'importance des surfaces brutes de plancher assignées à sa parcelle, selon l’autorisation de construire considérée (art. 11 al. 1 RGZD).</w:t>
      </w:r>
    </w:p>
    <w:p>
      <w:r>
        <w:t>La taxe d'équipement se monte en principe à CHF 40.- le m2 de surface brute de plancher à créer, sous réserve des alinéas 3, 4 et 5 (art. 11 al. 2 RGZD).</w:t>
      </w:r>
    </w:p>
    <w:p>
      <w:r>
        <w:t>Le montant de CHF 40.- le m2 de surface brute de plancher à créer, visé à l'alinéa 2, est adapté à l'indice suisse des prix de la construction applicable à la région lémanique à compter du 1er janvier 2004, lors de chaque écart égal ou supérieur de 5 % (art. 11 al. 5 RGZD).</w:t>
      </w:r>
    </w:p>
    <w:p>
      <w:r>
        <w:t>Lorsque le montant total des frais d'équipement publics nécessités par la réalisation du PLQ considéré est connu et résulte du crédit que la commune intéressée est tenue d’adopter en vue du financement des travaux nécessaires, la taxe d'équipement est calculée différemment. Lorsque ces deux conditions cumulatives sont réalisées, son montant correspond à 75 % du total de ces frais pour l'ensemble des constructions et installations prévues par ce plan. La taxe est répartie entre les différents propriétaires concernés proportionnellement aux surfaces brutes de plancher, telles qu’elles résultent du tableau de répartition des droits à bâtir afférent au PLQ considéré (art. 11 al. 3 RGZD). 5)</w:t>
      </w:r>
    </w:p>
    <w:p>
      <w:r>
        <w:t>La doctrine considère que l'art. 19 al. 2 LAT contient un mandat législatif. Les cantons doivent adopter un système dans lequel les propriétaires fonciers contribuent de manière adéquate aux frais d'équipement. La mise à disposition de voies d'accès, d'égouts ainsi que de conduites d'alimentation représente, pour les propriétaires des terrains équipés, un avantage particulier de nature économique, car cela leur permet de requérir une autorisation de construire. C'est pourquoi on peut considérer que l'art. 19 al. 2 LAT vise surtout les contributions de plus-value. Comme les charges de préférence ou contributions de plus-value peuvent être perçues au moment où les installations d'équipement sont disponibles, soit avant le raccordement effectif, cette mesure fiscale sert à la réalisation des plans d'affectation. En effet, elle encourage l'occupation des zones à bâtir et l'utilisation des terrains non bâtis, car les propriétaires chercheront en principe à rentabiliser</w:t>
      </w:r>
    </w:p>
    <w:p>
      <w:r>
        <w:t>- 9/12 - A/832/2014 les frais qu'ils ont supportés (André JOMINI, in Commentaire de la loi fédérale sur l'aménagement du territoire, 1999, art. 19).</w:t>
      </w:r>
    </w:p>
    <w:p>
      <w:r>
        <w:t>L'avantage économique retiré par chaque bénéficiaire d'un service public étant souvent difficile, voire impossible à déterminer en pratique, la jurisprudence admet que les taxes d'utilisation soient établies de manière schématique et tiennent compte de normes fondées sur des situations moyennes et faciles à utiliser. Les contributions doivent être établies selon des critères objectifs et s'abstenir de créer des différences qui ne se justifieraient pas par des motifs pertinents (ATF 126 I 180 consid. 3a/bb p. 188 ; 122 I 279 consid. 6c p. 289 et les arrêts cités). Malgré leur schématisme, l'autorité de taxation ne pourra, par égard au principe d'égalité, pas se départir de tels critères (arrêt du Tribunal fédéral 2C_847/2008 du 8 septembre 2009 consid. 2.2 et 2.3), à moins que ceux-ci aboutissent, dans un cas particulier, à des résultats insoutenables, ou créent des différences ne reposant pas sur des motifs raisonnables (ATF 125 I 1 consid. 2b/bb p. 5 et les références citées). 6)</w:t>
      </w:r>
    </w:p>
    <w:p>
      <w:r>
        <w:t>En l'espèce, les copropriétaires contestent devoir une taxe d’équipement au motif qu’il n’existe pas de PLQ.</w:t>
      </w:r>
    </w:p>
    <w:p>
      <w:r>
        <w:t>La chambre de céans a déjà jugé que l’existence d’un tel plan n’était pas une condition nécessaire à la perception d’une taxe d’équipement, du fait que les conditions de l’art. 11 al. 3 LGZD sont cumulatives et que l’art. 11 al. 3 RGZD est inapplicable en l’absence de PLQ (ATA/130/2015 du 3 février 2015). En effet, si cette absence est liée, comme ici, à l’existence d’un quartier de développement déjà fortement urbanisé (art. 2 al. 2 let. c LGZD), cela implique que l’équipement est déjà existant et donc qu’un plan localisé est superflu pour le prévoir. En l’absence de PLQ, il y a lieu d'appliquer la méthode habituelle de calcul pour la taxe d'équipement, soit la méthode du calcul forfaitaire, prévue à l’art. 11 al. 2 RGZD.</w:t>
      </w:r>
    </w:p>
    <w:p>
      <w:r>
        <w:t>Le grief est infondé. 7)</w:t>
      </w:r>
    </w:p>
    <w:p>
      <w:r>
        <w:t>Les recourants tiennent grief au bordereau litigieux de violer l’art. 11 al. 3 RGZD, le terrain concerné étant déjà équipé. Aucune taxe d’équipement ne serait exigible.</w:t>
      </w:r>
    </w:p>
    <w:p>
      <w:r>
        <w:t>Dans un arrêt récent, la chambre de céans a jugé que lorsqu'aucun équipement public ne devait être réalisé par la collectivité publique, la zone sur laquelle le projet de construction était prévu ayant déjà été équipée, il y avait lieu d'appliquer la méthode habituelle de calcul pour la taxe d'équipement, soit la méthode du calcul forfaitaire de l’art. 11 al. 2 RGZD (ATA/921/2014 du 25 novembre 2014).</w:t>
      </w:r>
    </w:p>
    <w:p>
      <w:r>
        <w:t>- 10/12 - A/832/2014</w:t>
      </w:r>
    </w:p>
    <w:p>
      <w:r>
        <w:t>Comme le relève à juste titre le département, appliquer l'art. 11 al. 3 RGZD serait source de nombreux litiges au sujet des coûts des équipements déjà réalisés, de la zone à prendre en considération et des taxes déjà perçues. Elle mènerait aussi à une inégalité de traitement puisque le premier propriétaire devrait payer des coûts élevés alors que le dernier n'aurait à s'acquitter que d'une taxation réduite, les alentours étant déjà équipés.</w:t>
      </w:r>
    </w:p>
    <w:p>
      <w:r>
        <w:t>Le grief est infondé. 8)</w:t>
      </w:r>
    </w:p>
    <w:p>
      <w:r>
        <w:t>Se pose la question de la bonne foi des sociétés.</w:t>
      </w:r>
    </w:p>
    <w:p>
      <w:r>
        <w:t>Le 12 décembre 2013, les coproprétaires ont signé pour accord les formulaires intitulés « Conditions d’application des normes de la zone de développement » établis par le département, indiquant que la taxe d’équipement public était arrêtée à CHF 126'200.96, avant de recourir ensuite auprès du TAPI contre cette facture.</w:t>
      </w:r>
    </w:p>
    <w:p>
      <w:r>
        <w:t>Les organes de l’État et les particuliers doivent agir de manière conforme aux règles de la bonne foi (art. 5 al. 3 de la Constitution fédérale de la Confédération suisse du 18 avril 1999 - Cst. - RS 101).</w:t>
      </w:r>
    </w:p>
    <w:p>
      <w:r>
        <w:t>En signant les formulaires uniquement pour obtenir les autorisations sollicitées, puis en recourant contre la facture, les copropriétaires ont manifestement violé le principe de la bonne foi. En effet, dès la signature dudit document, le DALE était en droit de considérer le montant de la facture comme accepté (ATA/921/2014 précité). 9)</w:t>
      </w:r>
    </w:p>
    <w:p>
      <w:r>
        <w:t>Partant, la facture du département des 31 décembre 2013, adressée aux copropriétaires, liée à l'autorisation de construire, d'un montant de CHF 126'200.96, relative à la taxe d'équipement public est conforme à la loi, notamment au regard de l'art. 11 al. 2 RGZD. 10) Le recours des copropriétaires est rejeté. Celui du département est admis.</w:t>
      </w:r>
    </w:p>
    <w:p>
      <w:r>
        <w:t>Vu l’issue du litige, un émolument de CHF 2’000.- sera mis à la charge conjointe et solidaire des copropriétaires, qui succombent (art. 87 al. 1 LPA), et aucune indemnité de procédure ne sera allouée (art. 87 al. 2 LPA). L’autorité qui recourt contre une décision du TAPI est exemptée des frais de procédure et émolument (art. 12 al. 2 du règlement sur les frais, émoluments et indemnités en procédure administrative du 30 juillet 1986 - RFPA - E 5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