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ATA/478/2011 vom 26. Juli 2011</w:t>
      </w:r>
    </w:p>
    <w:p>
      <w:r>
        <w:t>GE Cour de justice, 2011-07-26, FR</w:t>
      </w:r>
    </w:p>
    <w:p>
      <w:r>
        <w:rPr>
          <w:b/>
        </w:rPr>
        <w:t xml:space="preserve">Quelle: </w:t>
      </w:r>
      <w:r>
        <w:t>https://mcp.opencaselaw.ch/entscheid/ge_gerichte_ATA_478_2011</w:t>
      </w:r>
    </w:p>
    <w:p>
      <w:r>
        <w:t>FR: GE_GERICHTE ATA/478/2011 du 26 juillet 2011</w:t>
      </w:r>
    </w:p>
    <w:p>
      <w:r>
        <w:t>IT: GE_GERICHTE ATA/478/2011 del 26 luglio 2011</w:t>
      </w:r>
    </w:p>
    <w:p>
      <w:pPr>
        <w:pStyle w:val="Heading2"/>
      </w:pPr>
      <w:r>
        <w:t>Erwägungen</w:t>
      </w:r>
    </w:p>
    <w:p>
      <w:r>
        <w:rPr>
          <w:b/>
        </w:rPr>
        <w:t>E. 1</w:t>
      </w:r>
    </w:p>
    <w:p>
      <w:r>
        <w:t>Interjeté en temps utile devant la juridiction compétente, le recours est recevable (art. 131 et 132 - de la loi sur l'organisation judiciaire du 26 septembre 2010 - LOJ - E 2 05 ; art. 62 al. 1 LPA).</w:t>
      </w:r>
    </w:p>
    <w:p>
      <w:r>
        <w:rPr>
          <w:b/>
        </w:rPr>
        <w:t>E. 2</w:t>
      </w:r>
    </w:p>
    <w:p>
      <w:r>
        <w:t>De jurisprudence constante, la proximité avec l'objet du litige ne suffit pas à elle seule à conférer au voisin la qualité pour recourir contre la délivrance d'une autorisation de construire. Le recourant, qui doit se trouver dans une relation spéciale, étroite et digne d'être prise en considération avec l'objet de la contestation, doit en outre retirer un avantage pratique de l'annulation ou de la modification de l'arrêt contesté qui permette d'admettre qu'il est touché dans un intérêt personnel se distinguant nettement de l'intérêt général des autres habitants de la commune (Message, FF 2001 p. 4127 ; ATF 133 II 249 consid. 1.3.1 p. 252 s. ; cf. ATF 120 Ib 431 consid. 1 p. 433). 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(cf. l'intervention du Conseiller fédéral Blocher lors de la séance du Conseil des Etats du 8 mars 2005 consacrée à</w:t>
      </w:r>
    </w:p>
    <w:p>
      <w:r>
        <w:t>- 8/14 - A/1734/2010 la loi fédérale sur le Tribunal fédéral, BOCE 2005 p. 135 s. ; ATF 125 I 7 consid. 3c p. 9 ; 123 II 376 consid. 2 p. 378).</w:t>
      </w:r>
    </w:p>
    <w:p>
      <w:r>
        <w:t>En l'espèce, les propriétés des recourants jouxtent celle de l’intimé. Les normes qu'ils invoquent sont, en tout cas en partie, destinées à les protéger dans leurs droits propres, de sorte qu'ils disposent de la qualité pour recourir (ATA/4423/2008 du 8 mars 2011).</w:t>
      </w:r>
    </w:p>
    <w:p>
      <w:r>
        <w:rPr>
          <w:b/>
        </w:rPr>
        <w:t>E. 3</w:t>
      </w:r>
    </w:p>
    <w:p>
      <w:r>
        <w:t>Les recourants invoquent une violation de la procédure en matière d’autorisation de construire. En particulier, le DCTI aurait dû s'enquérir de la faisabilité du projet en sollicitant toute étude, enquête, document ou expertise nécessaire à cette détermination, en application des art. 13 al. 4 et 16 RCI, 14 et 121 al. 3 LCI et 19 et 20 LPA, pour tenir compte des inconvénients majeurs et risques quant à la sécurité des voisins, résultant du projet litigieux.</w:t>
      </w:r>
    </w:p>
    <w:p>
      <w:r>
        <w:rPr>
          <w:b/>
        </w:rPr>
        <w:t>E. 4</w:t>
      </w:r>
    </w:p>
    <w:p>
      <w:r>
        <w:t>a. La LCI vise en premier lieu à protéger l’intérêt public à ce que soient élevées sur le territoire des constructions qui présentent certaines qualités, notamment en termes de conception, de solidité, d’aspect et de sécurité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w:t>
      </w:r>
    </w:p>
    <w:p>
      <w:r>
        <w:t>b. Les propriétaires sont responsables, dans l’application de la LCI et sous réserve des droits civils, de l’entretien, de la sécurité et de la salubrité des constructions et installations (art. 121 et ss LCI).</w:t>
      </w:r>
    </w:p>
    <w:p>
      <w:r>
        <w:t>Ainsi, dans le système instauré par la LCI, la vérification relative à la stabilité et à la solidité des constructions n’est pas opérée par le service sécurité- salubrité du département. Elle relève de la responsabilité des mandataires et des propriétaires. Ni la loi ni le règlement ne contiennent d’ailleurs de disposition à ce sujet.</w:t>
      </w:r>
    </w:p>
    <w:p>
      <w:r>
        <w:t>Sur la base de la LCI, le département peut uniquement demander la production de calculs statiques en complément des documents nécessaires à l’examen d’une demande d’autorisation de construire (art. 13 al. 4 RCI). A cet égard, le Tribunal fédéral a précisé que l’on ne pouvait pas tirer de cette disposition une quelconque obligation d’agir, opposable aux autorités cantonales (Arrêt du Tribunal fédéral 1P.224/2001 du 25 juin 2001 confirmant l’ATA/104/2001 du 13 février 2001 ; ATA/47/2005 du 1er février 2005).</w:t>
      </w:r>
    </w:p>
    <w:p>
      <w:r>
        <w:rPr>
          <w:b/>
        </w:rPr>
        <w:t>E. 5</w:t>
      </w:r>
    </w:p>
    <w:p>
      <w:r>
        <w:t>a. L'art. 14 al. 1 let. a LCI stipule que le département peut refuser une autorisation de construire ou démolir lorsque le projet peut être la cause d'inconvénients graves pour les usagers, le voisinage ou le public. A cet égard, l’on rappellera que cette disposition vise les nuisances issues ou induites par la</w:t>
      </w:r>
    </w:p>
    <w:p>
      <w:r>
        <w:t>- 9/14 - A/1734/2010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 (ATA/448/2010 du 29 juin 2010).</w:t>
      </w:r>
    </w:p>
    <w:p>
      <w:r>
        <w:t>b. La notion d’inconvénients graves est une notion juridique indéterminée qui laisse à l’autorité une liberté d’appréciation et n’est limitée que par l’excès ou l’abus de pouvoir (ATA/723/2010 du 19 octobre 2010). Le Tribunal administratif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ATA/200/2008 du 29 avril 2008 consid. 10).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la chambre administrative (ATA/147/2011 du 8 mars 2011 et les références citées).</w:t>
      </w:r>
    </w:p>
    <w:p>
      <w:r>
        <w:t>En l’espèce, le projet litigieux a obtenu des préavis favorables de toutes les instances consultées, les réserves et conditions émises concernant pour l’essentiel le choix des matériaux, teintes et détails d’exécution à cela s’ajoute que le dossier contient un rapport technique de Géotechnique appliquée Deriaz S.A. ainsi qu'un courrier du bureau d'ingénieurs Schaeffer &amp; Bartolini S.A. desquels il ressort notamment que les spécificités du terrain sont bien appréhendées et qu'il n'y a « aucun problème à effectuer les constructions prévues, que ce soit au point de vue technique ou pour des influences sur les constructions voisines ». Enfin, les recourants n’avancent aucun argument propre à conduire la chambre de céans à s’écarter des préavis des services spécialisés précités, ceux-ci étant au demeurant suffisants pour que le département admette que le projet, dans son ensemble, n'était pas la source d'inconvénients graves, sans qu’il y ait lieu d’en requérir de nouveaux, ni de procéder à un complément d'instruction.</w:t>
      </w:r>
    </w:p>
    <w:p>
      <w:r>
        <w:t>Entièrement mal-fondés, les griefs des recourants seront écartés.</w:t>
      </w:r>
    </w:p>
    <w:p>
      <w:r>
        <w:rPr>
          <w:b/>
        </w:rPr>
        <w:t>E. 6</w:t>
      </w:r>
    </w:p>
    <w:p>
      <w:r>
        <w:t>M. Schricker, dans ses écritures du 17 février 2010 invoque encore une violation de l'art. 15 LCI dès lors que, contrairement à ce qu'a retenu le TAPI, la construction litigieuse n'est pas modeste, sa volumétrie est massive et son style</w:t>
      </w:r>
    </w:p>
    <w:p>
      <w:r>
        <w:t>- 10/14 - A/1734/2010 architectural ne correspond pas du tout aux maisons avoisinantes. Enfin, les panneaux solaires projetés, totalement inesthétiques, nuiraient au caractère et à l'intérêt du quartier, contrevenant ainsi aux directives imposées par le PDC de Versoix.</w:t>
      </w:r>
    </w:p>
    <w:p>
      <w:r>
        <w:rPr>
          <w:b/>
        </w:rPr>
        <w:t>E. 7</w:t>
      </w:r>
    </w:p>
    <w:p>
      <w:r>
        <w:t>L'art. 15 al. 1 LCI permet au département d'interdire ou de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doit se fonder notamment sur le préavis de la commission d'architecture, et elle tient compte également, le cas échéant, de ceux émis par la commune ou les services compétents du département (art. 15 al. 2 LCI).</w:t>
      </w:r>
    </w:p>
    <w:p>
      <w:r>
        <w:t>En l’espèce, la sous-commission d’architecture a émis un préavis favorable, retenant que le projet « s’intégrait bien dans le site et que le gabarit (modeste) et la volumétrie (simple) s’adaptait sans heurts au contexte environnant ». L’autorité intimée a suivi ce préavis. De même la commune de Versoix ne s'est pas opposée au projet, se réservant d’examiner l’intégration des panneaux solaires proposés en toiture.</w:t>
      </w:r>
    </w:p>
    <w:p>
      <w:r>
        <w:t>En conséquence, l'avis du recourant quant au caractère inesthétique du projet qui ne se fonde d'ailleurs pas sur des éléments qui auraient échappés à la CMNS ou à la commune de Versoix, est une pure question d'appréciation (ATA/277/2010 du 27 avril 2010) et n'est par conséquent pas susceptible d'invalider les autorisations octroyées par le département et confirmées par la commission. Le recours doit être rejeté sur ce point également.</w:t>
      </w:r>
    </w:p>
    <w:p>
      <w:r>
        <w:t>Enfin, l'on ne voit pas en quoi le projet litigieux contreviendrait au plan directeur communal, si tant est que ce dernier ait un caractère contraignant sous l’angle du style architectural, alors même qu'il a été préavisé favorablement tant par la CMNS que la commune de Versoix qui ont porté une attention toute particulière à cet égard, imposant de surcroît des conditions bien précises notamment quant au choix des teintes, matériaux et détails d'exécution.</w:t>
      </w:r>
    </w:p>
    <w:p>
      <w:r>
        <w:rPr>
          <w:b/>
        </w:rPr>
        <w:t>E. 8</w:t>
      </w:r>
    </w:p>
    <w:p>
      <w:r>
        <w:t>Les recourants font enfin grief à l'autorisation de construire de permettre l'édification d'une maison d'habitation dans un secteur dans lequel les valeurs limites d'immissions sont largement dépassées pour un tel usage.</w:t>
      </w:r>
    </w:p>
    <w:p>
      <w:r>
        <w:rPr>
          <w:b/>
        </w:rPr>
        <w:t>E. 9</w:t>
      </w:r>
    </w:p>
    <w:p>
      <w:r>
        <w:t>L'art. 43 al. 1 OPB prévoit que dans les zones d’affectation selon les art. 14 et ss de la loi fédérale sur l’aménagement du territoire du 22 juin l979 (LAT - RS 700), les degrés de sensibilité suivants sont à appliquer : a) le degré de sensibilité I dans les zones qui requièrent une protection accrue contre le bruit, notamment dans les zones de détente ;</w:t>
      </w:r>
    </w:p>
    <w:p>
      <w:r>
        <w:t>- 11/14 - A/1734/2010 b) le degré de sensibilité II dans les zones où aucune entreprise gênante n’est autorisée, notamment dans les zones d’habitation ainsi que dans celles réservées à des constructions et installations publiques ; c) le degré de sensibilité III dans les zones où sont admises des entreprises moyennement gênantes, notamment dans les zones d’habitation et artisanales (zones mixtes) ainsi que dans les zones agricoles ; d) le degré de sensibilité IV dans les zones où sont admises des entreprises fortement gênantes, notamment dans les zones industrielles.</w:t>
      </w:r>
    </w:p>
    <w:p>
      <w:r>
        <w:t>L'art. 43 al. 2 OPB autorise en outre à déclasser d’un degré les parties de zones d’affectation du degré de sensibilité I ou II, lorsqu’elles sont déjà exposées au bruit.</w:t>
      </w:r>
    </w:p>
    <w:p>
      <w:r>
        <w:t>En l'espèce, il n'est pas contesté que la parcelle litigieuse, comme celles des recourants, se trouve dans la mince bande littorale classée en degré de sensibilité II, déclassé III (DS II d III) en vertu de l'art. 43 al. 2 OPB et que, s'agissant du DS III pertinent en l'espèce, compte tenu du déclassement d'un degré dont bénéficie la parcelle litigieuse, les valeurs limites d'immissions sont atteintes pour la tranche horaire de 22h00 à 23h00.</w:t>
      </w:r>
    </w:p>
    <w:p>
      <w:r>
        <w:rPr>
          <w:b/>
        </w:rPr>
        <w:t>E. 10</w:t>
      </w:r>
    </w:p>
    <w:p>
      <w:r>
        <w:t>a. A teneur de l'art. 31 al. 1 OPB, lorsque les valeurs limites d’immission sont dépassées, les nouvelles constructions ou les modifications notables de bâtiments comprenant des locaux à usage sensible au bruit, ne seront autorisées que si ces valeurs peuvent être respectées par : − la disposition des locaux à usage sensible au bruit sur le côté du bâtiment opposé au bruit (let. a) ; − des mesures de construction ou d’aménagement susceptibles de protéger le bâtiment contre le bruit (let. b).</w:t>
      </w:r>
    </w:p>
    <w:p>
      <w:r>
        <w:t>Si les mesures fixées à l’al. 1 ne permettent pas de respecter les valeurs limites d’immission, le permis de construire ne sera délivré qu’avec l’assentiment de l’autorité cantonale et pour autant que l’édification du bâtiment présente un intérêt prépondérant (al. 2).</w:t>
      </w:r>
    </w:p>
    <w:p>
      <w:r>
        <w:t>b. Un intérêt prépondérant au sens de la disposition précitée signifie que cet intérêt doit être plus important que celui de la protection contre le bruit extérieur, sans qu’un intérêt public soit nécessaire (A.-C. FAVRE, La protection contre le bruit dans la loi sur la protection de l’environnement, thèse Lausanne 2002, p. 269 ss ; Arrêts du Tribunal fédéral 1A.108/2003 du 9 septembre 2003 et 1A.90/2002 du 7 février 2003).</w:t>
      </w:r>
    </w:p>
    <w:p>
      <w:r>
        <w:t>- 12/14 - A/1734/2010</w:t>
      </w:r>
    </w:p>
    <w:p>
      <w:r>
        <w:t>c. L'octroi d'une autorisation de construire fondée sur l'art. 31 al. 2 OPB dépend ainsi d'une pesée des intérêts en présence et requiert un intérêt à réaliser la construction projetée qui prime celui des futurs occupants à être protégés contre le bruit extérieur. Cet intérêt peut être public ou privé ; toutefois, l'intérêt du propriétaire à pouvoir utiliser sa parcelle de manière conforme à l'affectation de la zone n'est pas suffisant car il reviendrait à accorder dans tous les cas une autorisation. Dans la pesée des intérêts, il convient de prendre en compte la destination de la zone dans laquelle prendrait place le projet et l'importance quantitative du dépassement des valeurs limites d'immission (Arrêts du Tribunal fédéral 1A.108/2003 du 9 septembre 2003 consid. 2.2 in DEP 2003 p. 832 ; 1A.59/1998 du 26 août 1998 consid. 3b in DEP 1999 p. 419). Les valeurs d'alarme doivent en particulier être observées (Architecture et protection contre le bruit, Mémoire ASPAN n° 69, p. 28; cf. Arrêt du Tribunal fédéral 1A.59/1998 précité in DEP 1999 p. 419).</w:t>
      </w:r>
    </w:p>
    <w:p>
      <w:r>
        <w:t>d. L’autorité administrative jouit d’un large pouvoir d’appréciation dans l’octroi de dérogations fondées sur l'art. 31 al. 2 OPB (Arrêt du Tribunal fédéral 1C_196/2008 du 13 janvier 2008).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(ATA/147/2011 du 8 mars 2011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146-147 consid. 4 et 117 a b 134, consid. 6 d ; ATA/147/2011 précité et les références citées ; P. MOOR, Droit administratif, 2ème éd., vol. I n° 4.3.2.3, pp. 376 et 379).</w:t>
      </w:r>
    </w:p>
    <w:p>
      <w:r>
        <w:t>En l'espèce, M. Dutoit a expressément énoncé les mesures qui seront prises contre le bruit, soit un tambour d'entrée pour les deux logements, des vitrages fixes sur la route de Suisse ou oscillant avec un survitrage, des loggias vitrées sur le lac et une coque en béton armé. Aucune pièce habitable ne donne sur la route de Suisse et l'extérieur sera traité en béton brut type IV avec un marquage, les fenêtres seront en bois-métal et une casquette contre le bruit empiètera sur le trottoir. Ces mesures, qui correspondent à celles énoncées aux let. a et b de l'art. 31 al. 1 OPB, ont été estimées comme suffisantes tant par le DCTI que par la commission et les recourants n’apportent aucun nouvel élément qui permettrait d’en douter.</w:t>
      </w:r>
    </w:p>
    <w:p>
      <w:r>
        <w:t>Ce dernier grief doit également être écarté.</w:t>
      </w:r>
    </w:p>
    <w:p>
      <w:r>
        <w:t>- 13/14 - A/1734/2010</w:t>
      </w:r>
    </w:p>
    <w:p>
      <w:r>
        <w:rPr>
          <w:b/>
        </w:rPr>
        <w:t>E. 11</w:t>
      </w:r>
    </w:p>
    <w:p>
      <w:r>
        <w:t>Entièrement mal-fondé, le recours sera rejeté.</w:t>
      </w:r>
    </w:p>
    <w:p>
      <w:r>
        <w:t>Vu l'issue du litige, un émolument de CHF 1'500.- sera mis à la charge des recourants, pris conjointement et solidairement. Aucune indemnité de procédure ne sera octroyée à l'intimé, qui agit en personne et n'indique pas avoir exposé des frais pour sa défense (art. 87 LPA ; ATA/843/2010 du 30 novembre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