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ATA/477/2013 vom 30. Juli 2013</w:t>
      </w:r>
    </w:p>
    <w:p>
      <w:r>
        <w:t>GE Cour de justice, 2013-07-30, FR</w:t>
      </w:r>
    </w:p>
    <w:p>
      <w:r>
        <w:rPr>
          <w:b/>
        </w:rPr>
        <w:t xml:space="preserve">Quelle: </w:t>
      </w:r>
      <w:r>
        <w:t>https://mcp.opencaselaw.ch/entscheid/ge_gerichte_ATA_477_2013</w:t>
      </w:r>
    </w:p>
    <w:p>
      <w:r>
        <w:t>FR: GE_GERICHTE ATA/477/2013 du 30 juillet 2013</w:t>
      </w:r>
    </w:p>
    <w:p>
      <w:r>
        <w:t>IT: GE_GERICHTE ATA/477/2013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du SPMin du 25 octobre 2012 demandant à Mme E______ de participer aux frais de placement de sa fille à hauteur d’un montant forfaitaire de CHF 470.- par mois.</w:t>
      </w:r>
    </w:p>
    <w:p>
      <w:r>
        <w:t>- 4/8 - A/3540/2012</w:t>
      </w:r>
    </w:p>
    <w:p>
      <w:r>
        <w:rPr>
          <w:b/>
        </w:rPr>
        <w:t>E. 3</w:t>
      </w:r>
    </w:p>
    <w:p>
      <w:r>
        <w:t>La recourante reproche au SPMin d'avoir violé son droit d'être entendu en ne motivant pas la décision querellée, qu'il s'agisse des éléments financiers ou du choix de l'autorité de ne pas faire supporter au père une partie de la charge.</w:t>
      </w:r>
    </w:p>
    <w:p>
      <w:r>
        <w:t>Le droit d’être entendu est une garantie de nature formelle (ATA/294/2013 du 7 mai 2013 et les réf. citées), dont la violation entraîne, lorsque sa réparation par l'autorité de recours n'est pas possible, l'annulation de la décision attaquée sans égard aux chances de succès du recours sur le fond (ATF 137 I 195 consid. 2.2 p. 197 ; 133 III 235 consid. 5.3 p. 250 ; ATA/276/2012 du 8 mai 2012).</w:t>
      </w:r>
    </w:p>
    <w:p>
      <w:r>
        <w:t>La jurisprudence du Tribunal fédéral en matière de droits constitutionnels a déduit notamment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ATA/268/2012 du 8 mai 2012).</w:t>
      </w:r>
    </w:p>
    <w:p>
      <w:r>
        <w:t>En l'espèce, la décision se réfère à une évaluation financière de la situation de la recourante, sans autre indication. Elle ne comporte aucune annexe permettant de savoir en quoi consiste cette évaluation, laquelle ne peut dès lors être contestée. De même est-il impossible de savoir pour quel motif aucune participation du père n'est requise. La décision querellée ne remplit ainsi pas les exigences minimales de motivation, ce que le SPMin a d'ailleurs admis. Le droit d'être entendu de la recourante été gravement violé.</w:t>
      </w:r>
    </w:p>
    <w:p>
      <w:r>
        <w:rPr>
          <w:b/>
        </w:rPr>
        <w:t>E. 3.1</w:t>
      </w:r>
    </w:p>
    <w:p>
      <w:r>
        <w:t>p. 27; 129 I 361 consid. 2.1 p. 363 et les références citées; Arrêt du Tribunal fédéral 2C_34/2013 du 21 janvier 2013 consid. 6.3).</w:t>
      </w:r>
    </w:p>
    <w:p>
      <w:r>
        <w:t>- 5/8 - A/3540/2012</w:t>
      </w:r>
    </w:p>
    <w:p>
      <w:r>
        <w:t>La réparation d'un vice de procédure en instance de recours et, notamment, du droit d'être entendu, n'est possible que lorsque l'autorité dispose du même pouvoir d'examen que l'autorité inférieure (ATF 137 I 195 consid. 2.3.2 p. 197 s. ; 133 I 201 consid. 2.2 p. 204 ; Arrêts du Tribunal fédéral 2C_306/2012 du 18 juillet 2012 ; 1C_572/2011 du 3 avril 2012 consid. 2.1 et références citées ; ATA/304/2013 du 14 mai 2013; ATA/192/2012 du 3 avril 2012 ; P. MOOR/E. POLTIER, Droit administratif, vol. 2, 3ème éd., 2011, ch. 2.2.7.4 p. 322 et 2.3.3.1 p. 362 ; T. TANQUEREL, Manuel de droit administratif, 2011, p. 516s, n. 1553s). Elle dépend toutefois de la gravité et de l'étendue de l'atteinte portée au droit d'être entendu et doit rester l'exception (ATF 126 I 68 consid. 2 p. 72 et la jurisprudence citée) ;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ATA/301/2012 précité).</w:t>
      </w:r>
    </w:p>
    <w:p>
      <w:r>
        <w:t>Tel est le cas en l'espèce. Les décisions prises en matière de participation aux frais de placement ne relèvent pas de l'opportunité mais de l'exercice du pouvoir d'appréciation, ce que la juridiction de céans revoit avec plein pouvoir d'examen (art. 61 al. 1 let. a et al. 2 LPA).</w:t>
      </w:r>
    </w:p>
    <w:p>
      <w:r>
        <w:rPr>
          <w:b/>
        </w:rPr>
        <w:t>E. 4</w:t>
      </w:r>
    </w:p>
    <w:p>
      <w:r>
        <w:t>Une décision entreprise pour violation du droit d’être entendu n’est pas d'entrée de cause nulle mais annulable (ATF 136 V 117 ; ATA/304/2013 du 14 mai 2013). En effet, selon un principe général, la nullité d'un acte commis en violation de la loi doit résulter ou bien d'une disposition légale expresse, ou bien du sens et du but de la norme en question (ATF 122 I 97 consid. 3 p. 99 ; 119 II 147 consid. 4a p. 155 et les arrêts cités).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132 II 21 consid.</w:t>
      </w:r>
    </w:p>
    <w:p>
      <w:r>
        <w:rPr>
          <w:b/>
        </w:rPr>
        <w:t>E. 5</w:t>
      </w:r>
    </w:p>
    <w:p>
      <w:r>
        <w:t>Il reste à examiner si le vice dont est entachée la décision querellée a pu être réparé devant la chambre administrative.</w:t>
      </w:r>
    </w:p>
    <w:p>
      <w:r>
        <w:t>a. Selon l’art. 1 al. 1 du règlement fixant les frais de pension des mineurs placés hors du foyer familial, du 27 juillet 2011 (RFPMHF - J 6 26.05), en vigueur jusqu'au 31 décembre 2012, l'office de la jeunesse et l'office médico- 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du règlement).</w:t>
      </w:r>
    </w:p>
    <w:p>
      <w:r>
        <w:t>b. Lors de placements résidentiels en institution d’éducation spécialisée, en famille d’accueil avec hébergement, en application du droit pénal des mineurs, en structure d’enseignement spécialisé à caractère résidentiel, les frais mensuels de</w:t>
      </w:r>
    </w:p>
    <w:p>
      <w:r>
        <w:t>- 6/8 - A/3540/2012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du règlement). Les autres frais nécessaires aux activités ordinaires sont à la charge des père et mère à concurrence des frais effectifs (art. 2 al. 5 du règlement).</w:t>
      </w:r>
    </w:p>
    <w:p>
      <w:r>
        <w:t>c. Selon l'art. 3 du règlement, il n'est pas perçu de contribution financière aux frais de pension et d'entretien auprès des personnes au bénéfice d'une aide financière au sens de la loi sur l’insertion et l'aide sociale individuelle du 22 mars 2007 (LIASI - J 4 04).</w:t>
      </w:r>
    </w:p>
    <w:p>
      <w:r>
        <w:t>d. La chambre administrative a considéré que le règlement ne permettait pas de tenir compte de la capacité contributive des personnes concernées (ATA/401/2013 du 25 juin 2013 ; ATA/762/2012 du 6 novembre 2012 ; ATA/357/2012 du 5 juin 2012 ; ATA/67/2012 du 31 janvier 2012).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de la Constitution fédérale de la Confédération suisse du 18 avril 1999 - Cst. - RS 101, 276 et 285 du Code civil suisse du 10 décembre l907 - CCS - RS 210).</w:t>
      </w:r>
    </w:p>
    <w:p>
      <w:r>
        <w:rPr>
          <w:b/>
        </w:rPr>
        <w:t>E. 6</w:t>
      </w:r>
    </w:p>
    <w:p>
      <w:r>
        <w:t>Dans le cas particulier, le SPMin indique avoir procédé à un examen de la capacité contributive de la recourante. Il a certes transmis un document à la chambre de céans « Etat de pilotage du 2 janvier 2013 », mais ce document ne permet pas de déterminer pourquoi certains éléments ont été retenus, ni de savoir ce qui a été écarté et pourquoi.</w:t>
      </w:r>
    </w:p>
    <w:p>
      <w:r>
        <w:t>De même ne trouve-t-on aucun justificatif ni de la pratique interne selon laquelle la décision prise en application du RFPFMH est notifiée au seul parent titulaire du droit de garde. Rien ne permet de comprendre pourquoi le parent non titulaire du droit de garde, en l'occurrence le père, est ignoré dans le cadre de l'instruction d'office à laquelle doit procéder l'autorité (art. 19 LPA), étant rappelé qu'en vertu de l'art. 45 al. 5 de la loi fédérale sur la procédure pénale applicable aux mineurs du 20 mars 2009 (PPMin - RS 312.1), les deux parents doivent participer aux frais des mesures de protection conformément à leur obligation d’entretien au sens du droit civil et dans les limites de celle-ci (ATA/401/2013 déjà cité ; ATA/67/2012 du 31 janvier 2012).</w:t>
      </w:r>
    </w:p>
    <w:p>
      <w:r>
        <w:t>- 7/8 - A/3540/2012</w:t>
      </w:r>
    </w:p>
    <w:p>
      <w:r>
        <w:t>Les éléments fournis par le SPMin sont insuffisants pour comprendre sa décision et en apprécier le bien-fondé. Vu l'importance des lacunes du dossier, il n'est pas possible à la juridiction de recours de procéder elle-même aux investigations utiles dès lors que celles-ci relèvent des obligations élémentaires de l'autorité administrative dans l'exercice de sa compétence ordinaire.</w:t>
      </w:r>
    </w:p>
    <w:p>
      <w:r>
        <w:rPr>
          <w:b/>
        </w:rPr>
        <w:t>E. 7</w:t>
      </w:r>
    </w:p>
    <w:p>
      <w:r>
        <w:t>Au vu de ce qui précède, le recours sera admis. La décision litigieuse sera annulée et la cause renvoyée au SPMin afin que ce dernier fixe la contribution due par chacun des parents au titre de participation aux frais de pension et d’entretien, après avoir établi la situation financière des deux parents.</w:t>
      </w:r>
    </w:p>
    <w:p>
      <w:r>
        <w:rPr>
          <w:b/>
        </w:rPr>
        <w:t>E. 8</w:t>
      </w:r>
    </w:p>
    <w:p>
      <w:r>
        <w:t>Aucun émolument ne sera mis à la charge de la recourante, qui obtient gain de cause, ni du SPMin, qui en est dispensé de par la loi. Une indemnité de CHF 1'000.- sera allouée à la recourante, à la charge de l'Etat de Genève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