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ATA/476/2014 vom 24. Juni 2014</w:t>
      </w:r>
    </w:p>
    <w:p>
      <w:r>
        <w:t>GE Cour de justice, 2014-06-24, FR</w:t>
      </w:r>
    </w:p>
    <w:p>
      <w:r>
        <w:rPr>
          <w:b/>
        </w:rPr>
        <w:t xml:space="preserve">Quelle: </w:t>
      </w:r>
      <w:r>
        <w:t>https://mcp.opencaselaw.ch/entscheid/ge_gerichte_ATA_476_2014</w:t>
      </w:r>
    </w:p>
    <w:p>
      <w:r>
        <w:t>FR: GE_GERICHTE ATA/476/2014 du 24 juin 2014</w:t>
      </w:r>
    </w:p>
    <w:p>
      <w:r>
        <w:t>IT: GE_GERICHTE ATA/476/2014 del 24 giugno 2014</w:t>
      </w:r>
    </w:p>
    <w:p>
      <w:pPr>
        <w:pStyle w:val="Heading2"/>
      </w:pPr>
      <w:r>
        <w:t>Regeste</w:t>
      </w:r>
    </w:p>
    <w:p>
      <w:r>
        <w:t>Résumé: Après un contrôle effectué par la police du feu, une discothèque a été amendée à hauteur de CHF 5'000.-. La police du feu avait constaté de nombreux manquements en matière de sécurité incendie, ceux-ci étant qualifiés de graves. Le recourant a contesté l'amende, car il ignorait ne pas être en conformité avec les normes anti-feu. En cours de procédure, le recourant a remédié à tous les manquements constatés. L'amende a été diminuée à hauteur de CHF 3'000.-.</w:t>
      </w:r>
    </w:p>
    <w:p>
      <w:pPr>
        <w:pStyle w:val="Heading2"/>
      </w:pPr>
      <w:r>
        <w:t>Erwägungen</w:t>
      </w:r>
    </w:p>
    <w:p>
      <w:r>
        <w:rPr>
          <w:b/>
        </w:rPr>
        <w:t>E. 26</w:t>
      </w:r>
    </w:p>
    <w:p>
      <w:r>
        <w:t>septembre 2010 - LOJ - E 2 05 ; art. 62 al. 1 let. a de la loi sur la procédure administrative du 12 septembre 1985 - LPA - E 5 10). 2)</w:t>
      </w:r>
    </w:p>
    <w:p>
      <w:r>
        <w:t>Il convient toutefois d’examiner s’il subsiste un intérêt au recours du 18 juin 2013 contre la décision du service du 6 juin 2013.</w:t>
      </w:r>
    </w:p>
    <w:p>
      <w:r>
        <w:t>a. À teneur de l’art. 60 al. 1 let b LPA, toute personne qui est touchée directement par une décision et a un intérêt personnel digne de protection à ce qu’elle soit annulée ou modifiée, a qualité pour recourir.</w:t>
      </w:r>
    </w:p>
    <w:p>
      <w:r>
        <w:t>Selon la jurisprudence du Tribunal fédéral,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Pierre MOOR / 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 8C_194/2011 précité consid. 2.2).</w:t>
      </w:r>
    </w:p>
    <w:p>
      <w:r>
        <w:t>La condition de l’intérêt actuel fait défaut en particulier lorsque, par exemple, la décision ou la loi est révoquée ou annulée en cours d’instance (ATF 111 Ib 182 consid. 2 p. 185 ; 110 Ia 140 consid. 2 p. 141/142), la décision attaquée a été exécutée et a sorti tous ses effets (ATF 125 I 394 consid. 4 p. 396- 398 ; 120 Ia 165 consid. 1a p. 166 ; ATA/193/2013 du 26 mars 2013 ; ATA/727/2012 du 30 octobre 2012 et les références citées), le recourant a payé sans émettre aucune réserve la somme d’argent fixée par la décision litigieuse (ATF 106 Ia 151 ; 99 V 78) ou encore, en cas de recours concernant une décision</w:t>
      </w:r>
    </w:p>
    <w:p>
      <w:r>
        <w:t>- 6/11 - A/1326/2013 personnalissime, lorsque le décès du recourant survient pendant l’instance (ATF 113 Ia 351 consid. 1 p. 352 ; Pierre MOOR / Etienne POLTIER, op. cit., p. 748 n. 5.7.2.3).</w:t>
      </w:r>
    </w:p>
    <w:p>
      <w:r>
        <w:t>b. En l’espèce, la société a effectué toutes les modifications exigées par le service dans ses décisions du 21 mars et 6 juin 2013, pendant le traitement du litige. Elle a également retiré les fauteuils non conformes de la discothèque, ce qui a été confirmé par la représente du département, lors de la comparution personnelle des parties du 14 octobre 2013.</w:t>
      </w:r>
    </w:p>
    <w:p>
      <w:r>
        <w:t>Dès lors, la décision de mise en conformité du service du 6 juin 2013 a perdu toute actualité et seul le prononcé de l’amende de CHF 5’000.-, dans la décision du 21 mars 2013, reste litigieux.</w:t>
      </w:r>
    </w:p>
    <w:p>
      <w:r>
        <w:t>Partant, le recours du 18 juin 2013 sera déclaré irrecevable. 3) a. La prévention des sinistres est réglée dans le canton de Genève par la loi sur la prévention des sinistres, l’organisation et l’intervention des sapeurs-pompiers du 25 janvier 1990 (F 4 05 – LPSSP) et le règlement d’application de la loi sur la prévention des sinistres, l’organisation et l’intervention des sapeurs-pompiers du 25 juillet 1990 (F 4 05.01 – RPSSP).</w:t>
      </w:r>
    </w:p>
    <w:p>
      <w:r>
        <w:t>Le département est chargé de la prévention des sinistres, le contrôle et la surveillance des mesures de prévention incendie dans les entreprises incombant au service (art. 1 al. 2 et art. 6 al. 1 RPSSP)</w:t>
      </w:r>
    </w:p>
    <w:p>
      <w:r>
        <w:t>A teneur de l’art. 5 RPSSP, le département détermine les entreprises et exploitations publiques ou privées importantes ainsi que les ouvrages particuliers présentant des risques spéciaux en matière de défense contre l’incendie.</w:t>
      </w:r>
    </w:p>
    <w:p>
      <w:r>
        <w:t>Parmi les lieux réputés présenter des risques spéciaux en matière de défense contre l’incendie énoncés à l’art 5 al. 2 RPSSP figurent les salles de spectacle ou de réunion, cabarets, dancings, théâtres, cinémas, les magasins, les expositions, les hôtels, les cafés-restaurants, auberges et autres établissements pouvant accueillir du public (let. g).</w:t>
      </w:r>
    </w:p>
    <w:p>
      <w:r>
        <w:t>Selon l’art. 5 al. 3 RPSSP, le département définit, à l’intention des propriétaires et utilisateurs, les mesures de protection incendie applicables, conformément aux directives du présent règlement, ainsi qu’à la norme et aux directives de l’Association des établissements cantonaux d’assurance incendie (AEAI) ; cas échéant, il dénonce aux départements concernés les carences constatées.</w:t>
      </w:r>
    </w:p>
    <w:p>
      <w:r>
        <w:t>Toute installation de sécurité incendie doit être maintenue en bon état de fonctionnement (art. 9 al. 1 RPSSP). Le propriétaire ou l’exploitant est responsable du bon état d’entretien des installations ; il s’en assure, notamment,</w:t>
      </w:r>
    </w:p>
    <w:p>
      <w:r>
        <w:t>- 7/11 - A/1326/2013 par des contrats passés, en principe, avec les fournisseurs (art. 9 al. 2 RPSSP). Le département peut exiger du propriétaire ou de l’exploitant le remplacement d’une installation ou d’un équipement si son état le justifie (art. 9 al. 3 RPSSP).</w:t>
      </w:r>
    </w:p>
    <w:p>
      <w:r>
        <w:t>b. Lors de son contrôle du 19 mars 2013, le service a relevé pas moins de neuf éléments non conformes aux dispositions légales susmentionnées, notamment des mauvaises conditions en cas d’évacuation et des extincteurs à majorité vides ou percutés ainsi que les fauteuils provenant des anciens locaux. Il ne ressort pas du dossier que la recourante ait fourni des explications à ce sujet. De fait, non seulement ces manquements étaient patents, mais encore la société en a admis l’existence, à l’exception de ceux relatifs aux fauteuils non conformes aux normes de prévention d’incendie provenant de ses anciens locaux.</w:t>
      </w:r>
    </w:p>
    <w:p>
      <w:r>
        <w:t>Il est ainsi établi qu’elle contrevenait, le 19 mars 2013, à l’art. 9 RPSSP et que le service était fondé à cette date de constater cette contravention.</w:t>
      </w:r>
    </w:p>
    <w:p>
      <w:r>
        <w:t>Concernant les fauteuils non conformes, la société tente de justifier leur présence, en prétendant qu’elle ne savait pas que ce mobilier n’était pas en règle.</w:t>
      </w:r>
    </w:p>
    <w:p>
      <w:r>
        <w:t>La lecture du dossier montre l’inverse. En effet, une expertise d’inflammabilité des fauteuils a été exécutée en 2004, qui admettait un certain degré de combustibilité, d’où le courrier du service du 14 octobre 2005, tolérant pour deux semaines uniquement l’exploitation de la discothèque avec ce mobilier, mais demandant son remplaçement et une certification anti-feu du nouveau mobilier par l’entreprise G______. La société prétend qu’avant de déménager à la rue C______, sans communiquer de date précise, elle a fait changer le tissu qui recouvrait lesdits fauteuils et fait établir un certificat anti-feu. Toutefois, la documentation qu’elle a transmise pour se justifier en 2013 date de 2003, même si elle l’avait reçue en 2006, soit à une date antérieure au constat du service de 2005. Au regard de ces éléments, la chambre retiendra que la société, bien qu’ayant été avisée le 14 octobre 2005 par l’intimé que ses fauteuils n’étaient pas conformes aux normes anti-feu, n’a rien fait pour respecter l’ordre de mise en conformité qui lui avait été adressée à cette date lorsqu’elle a emménagé dans les locaux de la rue C______. En particulier, elle n’a pas fait modifier lesdits fauteuils ou remplacer ceux-ci par un agencement dont les propriétés anti-feu étaient certifiées valablement, comme demandé dans ledit courrier.</w:t>
      </w:r>
    </w:p>
    <w:p>
      <w:r>
        <w:t>Ce faisant, elle se trouvait également, le 19 mars 2013 et pour ce motif, avoir contrevenu aux injonctions que le département lui avait adressées sur ce point en 2005. 4)</w:t>
      </w:r>
    </w:p>
    <w:p>
      <w:r>
        <w:t>À teneur de l’art. 41 al. 1 LPSSP, est passible d’une amende administrative de CHF 100.- à CHF 20’000.- quiconque a contrevenu intentionnellement ou par négligence à la présente loi (let. a), aux règlements édictés en vertu de la présente</w:t>
      </w:r>
    </w:p>
    <w:p>
      <w:r>
        <w:t>- 8/11 - A/1326/2013 loi (let. b) ou aux décisions prises par le département dans les limites de la présente loi et de ses règlements d’application (let. c).</w:t>
      </w:r>
    </w:p>
    <w:p>
      <w:r>
        <w:t>Lorsque la personne responsable, au sens de la présente loi, est une personne morale ou une entreprise, l’amende peut lui être infligée en lieu et place des personnes physiques qui ont commis l’infraction (art. 41 al. 3 LPSSP).</w:t>
      </w:r>
    </w:p>
    <w:p>
      <w:r>
        <w:t>En l’espèce, il est établi que la société, lors du contrôle du 19 mars 2013, contrevenait à l’art. 9 RPSSP concernant ces installations et qu’elle n’avait pas respecté l’injonction qui lui avait été adressée en 2005 de mettre son agencement en conformité avec les normes anti-feu. Ce faisant, le département était légitimé à lui infliger une amende administrative en vertu de l’art. 41 LSPSSP, ce d’autant plus qu’il avait averti, par son courrier du 8 mars 2013, de son intervention de contrôle prochaine et d’un risque de pénalités en cas de constatation de contravention aux règles du feu. 5) a. Selon l’art. 41 al. 2 LPSSP, il doit être tenu compte, dans la fixation du montant de l’amende, du degré de gravité de la faute.</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notamment, que la quotité de la sanction administrative doit être fixée en tenant compte des principes généraux régissant le droit pénal (ATA/757/2011 du 13 décembre 2011 ; ATA/788/2010 du 16 novembre 2010 ; ATA/571/2010 du 31 août 2010 ; Pierre MOOR / Etienne POLTIER, op. cit., ch. 1.4.5.5, p. 160 ss).</w:t>
      </w:r>
    </w:p>
    <w:p>
      <w:r>
        <w:t>L’autorité qui prononce une mesure administrative ayant le caractère d’une sanction doit également faire application des règles contenues aux art. 47 ss du code pénal suisse du 21 décembre 1937 (CP – RS 311.0) (principes applicables à la fixation de la peine), soit tenir compte de la culpabilité de l’auteur et prendre en considération, notamment, les antécédents et la situation personnelle de ce dernier (art. 47 al. 1er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Selon la jurisprudence constante, l’administration doit faire preuve de sévérité afin d’assurer le respect de la loi. Elle jouit d’un large pouvoir d’appréciation pour infliger une amende (ATA/757/2011 du 13 décembre 2011 ; ATA/14/2011 du 11 janvier 2011 ; ATA/788/2010 du 16 novembre 2010 ; ATA/571/2010 du 31 août 2010). La chambre administrative ne la censure qu’en cas d’excès (ATA/160/2009 du 31 mars 2009). Enfin, l’amende doit respecter le</w:t>
      </w:r>
    </w:p>
    <w:p>
      <w:r>
        <w:t>- 9/11 - A/1326/2013 principe de la proportionnalité (ATA/533/2010 du 4 août 2010 ; ATA/201/2010 du 23 mars 2010).</w:t>
      </w:r>
    </w:p>
    <w:p>
      <w:r>
        <w:t>b. Le service a fixé le montant de l’amende à CHF 5’000.- . Il le justifie par le nombre de manquements relevés dans sa décision du 21 mars 2013 et par leur gravité. Il affirme avoir basé son calcul sur un barème, sans toutefois le produire devant la chambre de céans. Dès lors, il ne peut être tenu compte de ce dernier.</w:t>
      </w:r>
    </w:p>
    <w:p>
      <w:r>
        <w:t>En l’espèce, la société a failli aux exigences sécuritaires de prévention incendie constatées dans la décision litigieuse, ce qu’elle ne conteste pas. Toutefois, elle s’est conformée depuis lors aux mesures ordonnées par le service, en effectuant tous les travaux dans le délai imparti et en supprimant le mobilier non-conforme de la discothèque. Par le passé, elle n’a jamais été amendée par le service.</w:t>
      </w:r>
    </w:p>
    <w:p>
      <w:r>
        <w:t>Concernant le maintien dans la discothèque de la rue C______ des fauteuils de l’ancienne discothèque, s’il est établi qu’ils n’étaient pas conformes aux injonctions du service et que la recourante ne peut produire à leur sujet la certification qu’avait requis l’autorité en 2005, elle semble s’être souciée de requérir auprès de son fournisseur la documentation anti feu y afférente. Il y a lieu de prendre acte de ce souci même si cette documentation ne correspondait pas à ce que demandait le service. De son côté, ce dernier, après son courrier du 14 mars 2005, n’a pas vérifié si la recourante s’était conformée à ses injonctions ce qui a pu laisser penser à cette dernière qu’elle était en règle sur ce point.</w:t>
      </w:r>
    </w:p>
    <w:p>
      <w:r>
        <w:t>Au regard de ce qui précède, l’amende de CHF 5’000.- est excessive. La chambre administrative la diminuera à hauteur de CHF 3’000.-. 6)</w:t>
      </w:r>
    </w:p>
    <w:p>
      <w:r>
        <w:t>Partant, le recours sera partiellement admis. 7)</w:t>
      </w:r>
    </w:p>
    <w:p>
      <w:r>
        <w:t>Vu l’issue du litige, un émolument réduit à CHF 800.- sera mis à la charge de la recourante (art. 87 al. 1 LPA) ; aucune indemnité de procédure ne lui sera allouée, celle-ci n’ayant pas pris de conclusions en ce sens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