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ATA/474/2023 vom 24. April 2023</w:t>
      </w:r>
    </w:p>
    <w:p>
      <w:r>
        <w:t>GE Cour de justice, 2023-04-24, FR</w:t>
      </w:r>
    </w:p>
    <w:p>
      <w:r>
        <w:rPr>
          <w:b/>
        </w:rPr>
        <w:t xml:space="preserve">Quelle: </w:t>
      </w:r>
      <w:r>
        <w:t>https://mcp.opencaselaw.ch/entscheid/ge_gerichte_ATA_474_2023</w:t>
      </w:r>
    </w:p>
    <w:p>
      <w:r>
        <w:t>FR: GE_GERICHTE ATA/474/2023 du 24 avril 2023</w:t>
      </w:r>
    </w:p>
    <w:p>
      <w:r>
        <w:t>IT: GE_GERICHTE ATA/474/2023 del 24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19 al. 2 de la loi 12938).</w:t>
      </w:r>
    </w:p>
    <w:p>
      <w:r>
        <w:rPr>
          <w:b/>
        </w:rPr>
        <w:t>E. 2</w:t>
      </w:r>
    </w:p>
    <w:p>
      <w:r>
        <w:t>L’objet du litige porte sur la conformité au droit de la décision de l’intimée du 5 avril 2022, confirmant le refus prononcé le 25 novembre 2021 d’octroyer à la recourante l’aide financière pour cas de rigueur qu’elle avait sollicitée le</w:t>
      </w:r>
    </w:p>
    <w:p>
      <w:r>
        <w:rPr>
          <w:b/>
        </w:rPr>
        <w:t>E. 7</w:t>
      </w:r>
    </w:p>
    <w:p>
      <w:r>
        <w:t>juillet 2021 (ROLG 2021, p. 466). Les dispositions pertinentes à la résolution du cas d’espèce n’ont toutefois pas été modifiées à l’occasion de cette modification.</w:t>
      </w:r>
    </w:p>
    <w:p>
      <w:r>
        <w:t>L’aide financière est à fonds perdu. Elle consiste en une participation de l’État de Genève destinée à contribuer aux coûts fixes non couverts de l’entreprise, aux conditions et limites posées par la loi (art. 4 al. 1 et 2 règlement).</w:t>
      </w:r>
    </w:p>
    <w:p>
      <w:r>
        <w:t>Selon l’art. 19 al. 1 du règlement, applicable aux entreprises avec un chiffre d’affaires moyen 2018-2019 supérieur à CHF 5'000'000.-, peuvent prétendre à une aide financière celles qui démontrent que leur chiffre d’affaires, généré sur une période de 12 mois comprise entre le 1er janvier 2020 et le 30 juin 2021, est inférieur de 60 % du chiffre d’affaires moyen déterminé selon les modalités prévues par l’art. 3 de l’ordonnance.</w:t>
      </w:r>
    </w:p>
    <w:p>
      <w:r>
        <w:t>À teneur de l’art. 20 du règlement, le montant de l'indemnité correspond au recul du chiffre d’affaires tel que prévu par l’article 5 de l’ordonnance COVID-19 cas de rigueur, multiplié par une part de coûts fixes forfaitaires déterminée selon le domaine d’activité (al. 1). Le recul du chiffres d’affaires peut être calculé sur une période maximale de 18 mois comprise entre le 1er janvier 2020 et le 30 juin 2021 (al. 2). Conformément à l'art. 8b al. 3 de l’ordonnance, la part de coûts fixes forfaitaires appliquée au recul du chiffre d’affaires est de : 8% pour les agences de voyage, les commerces de gros et les commerces de véhicules automobiles (let. a) ; 15% pour les commerces de détail (let. b) ; 25% pour les autres entreprises (let. c). Le département peut fixer une part de coûts fixes forfaitaires plus faible s’il constate que les taux visés à l’al. 3 occasionnent une surindemnisation (al. 4).</w:t>
      </w:r>
    </w:p>
    <w:p>
      <w:r>
        <w:rPr>
          <w:b/>
        </w:rPr>
        <w:t>E. 8</w:t>
      </w:r>
    </w:p>
    <w:p>
      <w:r>
        <w:t>En l’espèce, dans sa demande pour cas de rigueur du 7 septembre 2021, la recourante a annoncé des chiffres d’affaires 2018, 2019 et 2020 de respectivement CHF 9'553'962.-, CHF 8'445'647.- et CHF 5'671'180.-. Dès lors que, comme elle y était autorisée, elle a demandé que le chiffre d’affaires pris en compte soit celui des douze derniers mois précédents sa demande, elle a annoncé pour la période du 1er février 2020 au 31 janvier 2021 un chiffre d’affaires de CHF 5'243'073.-. Pour sa part, l’intimée a retenu pour 2018, 2019 et pour la période du 1er février 2020 au 31 janvier 2021 des chiffres d’affaires de respectivement CHF 9'553'962.-, CHF 8'499'145.- et CHF 5'571'359.-.</w:t>
      </w:r>
    </w:p>
    <w:p>
      <w:r>
        <w:t>Il découle de ce qui précède, et les parties s’accordent sur le point qu’il n’y a aucune différence entre le chiffre d’affaires annoncé et celui retenu pour l’année 2018. Sont litigieux les chiffres d’affaires 2019 et 2020. Pour 2019, il n’est pas contesté que la différence de CHF 53'498.- correspond à la variation de la</w:t>
      </w:r>
    </w:p>
    <w:p>
      <w:r>
        <w:t>- 15/18 - A/1698/2022 provision pour débiteurs douteux que la recourante souhaite voir prise en compte. Pour 2020, l’intimée explique dans sa réponse au recours, sans être contredite sur ce point par la recourante dans sa réplique, que la différence de CHF 328'286.- s’explique par le fait que les CHF 5'571'359.- retenus par le département correspondent à l’addition des encaissements, c’est-à-dire des produits des ventes concrètes de fruits et légumes par la recourante.</w:t>
      </w:r>
    </w:p>
    <w:p>
      <w:r>
        <w:t>Reste ainsi à déterminer si c’est à juste titre que l’intimée n’a pas pris en compte la variation de la provision pour débiteurs douteux dans le chiffre d’affaires de la recourante en 2019 et en 2020, qu’elle n’a pas pris en compte la provision pour débiteurs douteux et les pertes sur débiteurs.</w:t>
      </w:r>
    </w:p>
    <w:p>
      <w:r>
        <w:rPr>
          <w:b/>
        </w:rPr>
        <w:t>E. 9</w:t>
      </w:r>
    </w:p>
    <w:p>
      <w:r>
        <w:t>a. La notion de chiffre d’affaires n’est pas définie dans les différentes lois, ordonnance ou règlement mentionnés ci-dessus. Il en est certes question à l’art. 3 al. 3 de l’ordonnance Covid-19, lequel est rédigé en ces termes : « le chiffre d’affaires au sens de la présente ordonnance se réfère au compte individuel de l’entreprise requérante ». Mais, comme cela ressort du commentaire du 18 juin 2021 concernant l’ordonnance Covid-19 rédigé par l’administration fédérale des finances (p. 6), cette disposition vise à préciser les modalités de la prise en compte du chiffre d’affaires des sociétés mères d’un groupe, les cantons ne pouvant invoquer le chiffre d’affaires d’une société du groupe qu’à une seule reprise, et non à définir le chiffre d’affaires. La notion de chiffres d’affaires n’est pas non plus définie dans le message du Conseil fédéral du 12 août 2020 concernant la loi COVID-19 (FF 2020 6363). Elle ne ressort pas plus des commentaires que du PL 12938.</w:t>
      </w:r>
    </w:p>
    <w:p>
      <w:r>
        <w:t>b. L’art. 1 al. 1 de la loi COVID-19 dispose que celle-ci règle des compétences du Conseil fédéral visant à lutter contre l’épidémie de COVID-19 et à surmonter les conséquences des mesures de lutte notamment sur l’économie. L’art. 12 de la loi COVID-19 mentionné plus haut se réfère aux entreprises particulièrement touchées par les conséquences de l’épidémie. Quant à l’ordonnance COVID-19 cas de rigueur, son art. 1 dispose que la Confédération participe aux coûts et aux pertes que les mesures pour les cas de rigueur destinées aux entreprises occasionnent à un canton. L’art. 1 de loi 12938 précise pour sa part que cette loi a pour but de limiter les conséquences de la lutte contre l’épidémie pour les entreprises sises à Genève. Ces dispositions limitent ainsi l’intervention des autorités aux conséquences des mesures adoptées pour lutter contre l’épidémie et non aux conséquences d’autres éléments qui pourraient affecter la marche des affaires d’une entreprise. Ce qui précède va dès lors dans le sens de la position défendue par l’intimée, selon laquelle notamment, les aides pour cas de rigueur n’avaient pas pour but de combler des lacunes résultant de débiteurs insolvables d’avant la pandémie.</w:t>
      </w:r>
    </w:p>
    <w:p>
      <w:r>
        <w:t>La position adoptée par l’intimée, en ce qu’elle refuse d’intégrer au chiffre d’affaires des pertes et des provisions, est également fondée au regard du titre</w:t>
      </w:r>
    </w:p>
    <w:p>
      <w:r>
        <w:t>- 16/18 - A/1698/2022 32ème du CO qui traite de la comptabilité commerciale, de la présentation des comptes, des autres devoirs de transparence et de diligence. Sous le chapitre II, comptes annuels et comptes intermédiaires, l’art. 959b CO traite de la structure minimale du compte de résultat. Il y est précisé que le compte de résultat reflète les résultats de l’entreprise durant l’exercice. Il peut être établi selon la méthode de l’affectation des charges par nature ou selon la méthode de l’affectation des charges par fonction (al. 1). Que le compte de résultats soit établi par nature ou par fonction, il doit comporter au moins les postes qui sont énoncés aux al. 2 et 3 de cette disposition. Les postes doivent être indiqués séparément et selon une structure précise. Doivent ainsi figurer les produits nets des ventes de biens et de prestations de services (al. 2 ch. 1 ; al. 3 ch. 1) et, séparément, notamment les amortissements (al. 2 ch. 6), certaines charges (al. 2 ch. 3, 4, 5, 7, 8 et 9 ; al. 3 ch. 3, 4, 5 et 6) ainsi que le bénéfice ou perte de l’exercice (al. 2 ch. 11 et al. 3 ch. 8).</w:t>
      </w:r>
    </w:p>
    <w:p>
      <w:r>
        <w:t>Au-delà des arguments fondés sur les exigences comptables précitées, le point de vue de l’intimée, qui soutient dans sa réponse au recours qu’il faut s’en tenir aux produits des ventes concrètes de fruits et de légumes de la recourante, se trouve encore renforcé à la lecture de la définition que donne le secrétariat d’État à l’économie. Sur le portail PME pour petites et moyennes entreprises, sous la rubrique « glossar » (www.kmu.admin.ch/kmu/fr/home/glossar/chiffre-d-affaires- .html), le chiffre d’affaires y est en effet défini comme la somme des ventes de biens ou de services d’une entreprise au cours d’un exercice comptable. Enfin, l’art. 10 al. 2bis de la loi fédérale régissant la taxe sur la valeur ajoutée du 12 juin 2009 (loi sur la TVA, LTVA - RS 641.20) va dans le même sens, cette disposition prévoyant que le chiffre d’affaires se calcul sur la base des contre-prestations convenues (hors impôt). La contre-prestation est définie comme la valeur patrimoniale que le destinataire, ou un tiers à sa place, remet en contrepartie d’une prestation (art. 3 let. f).</w:t>
      </w:r>
    </w:p>
    <w:p>
      <w:r>
        <w:t>Il découle de ce qui précède que l’intimée a correctement établi les faits. C’est en outre conformément au droit qu’elle s’est tenue à l’addition des encaissements, soit aux produits des ventes réalisées par la recourante, sans prendre en compte la variation de la provision pour débiteurs douteux dans le chiffre d’affaires de la recourante en 2019 et sans prendre en compte la provision pour débiteurs douteux et les pertes sur débiteurs en 2020. Cette manière de faire, en ce qu’elle permet d’identifier les seules pertes en lien avec les mesures adoptées pour lutter contre l’épidémie, n’est pas choquante et permet d’appréhender l’activité réelle de l’entreprise dans le respect de l’art. 3 al. 3 de la loi 12938.</w:t>
      </w:r>
    </w:p>
    <w:p>
      <w:r>
        <w:rPr>
          <w:b/>
        </w:rPr>
        <w:t>E. 10</w:t>
      </w:r>
    </w:p>
    <w:p>
      <w:r>
        <w:t>La recourante sollicite subsidiairement que soit examinée sa demande de cas de rigueur à la lumière des chiffres d’affaires produits à l’appui de sa réclamation du 22 décembre 2021. Elle expose que hors provisions sur débiteurs douteux, il était établi que le chiffre d'affaires de mars 2020 à février 2021 de</w:t>
      </w:r>
    </w:p>
    <w:p>
      <w:r>
        <w:t>- 17/18 - A/1698/2022 CHF 5'157'926.- était en recul de 42,86 % par rapport au chiffre d'affaires moyen 2018-2019 tel que retenu par le département, hors ajustement, à hauteur de CHF 9'026'554.-. Il en allait de même pour les périodes postérieures qui essuyaient une perte de 43.16 % d'avril 2020 à mars 2021, en comparaison au chiffre d’affaires moyen retenu par le département. Ce faisant, elle perd de vue que l’objet du présent litige porte sur un chiffre d’affaires défini pour la période du 1er février 2020 au 31 janvier 2021 et non sur des périodes subséquentes. Il n’y a dès lors pas lieu d’entrer en matière sur cette requête de la recourante ni d’examiner une éventuelle violation du principe de la bonne foi par l’intimée, grief qu’elle soulève dans ce cadre.</w:t>
      </w:r>
    </w:p>
    <w:p>
      <w:r>
        <w:rPr>
          <w:b/>
        </w:rPr>
        <w:t>E. 11</w:t>
      </w:r>
    </w:p>
    <w:p>
      <w:r>
        <w:t>Vu l’issue du litige, un émolument de CHF 1'500.- sera mis à la charge de la recourante, qui succombe (art. 87 al. 1 LPA). Aucune indemnité de procédure (art. 87 al. 2 LPA) ne sera allouée à l’intimée qui, bien que plaidant par un avocat, dispose d’un service juridique à tout le moins rattaché au département dont elle dépend.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