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ATA/474/2018 vom 15. Mai 2018</w:t>
      </w:r>
    </w:p>
    <w:p>
      <w:r>
        <w:t>GE Cour de justice, 2018-05-15, FR</w:t>
      </w:r>
    </w:p>
    <w:p>
      <w:r>
        <w:rPr>
          <w:b/>
        </w:rPr>
        <w:t xml:space="preserve">Quelle: </w:t>
      </w:r>
      <w:r>
        <w:t>https://mcp.opencaselaw.ch/entscheid/ge_gerichte_ATA_474_2018</w:t>
      </w:r>
    </w:p>
    <w:p>
      <w:r>
        <w:t>FR: GE_GERICHTE ATA/474/2018 du 15 mai 2018</w:t>
      </w:r>
    </w:p>
    <w:p>
      <w:r>
        <w:t>IT: GE_GERICHTE ATA/474/2018 del 15 maggio 2018</w:t>
      </w:r>
    </w:p>
    <w:p>
      <w:pPr>
        <w:pStyle w:val="Heading2"/>
      </w:pPr>
      <w:r>
        <w:t>Regeste</w:t>
      </w:r>
    </w:p>
    <w:p>
      <w:r>
        <w:t>Résumé: Rappel des principes régissant le changement de pratique administrative. En l'occurrence le DIP ne pouvait pas laisser se dérouler le processus d'admission des élèves domiciliés hors canton pour la rentrée 2018 comme il le faisait depuis des années, sans mise en garde particulière pour les administrés appelés à prendre des décisions importantes pour la scolarisation de leurs enfants, alors qu'il savait que sa pratique changerait. En donnant une réponse favorable selon la pratique en vigueur aux premières demandes arrivées et en donnant une réponse négative à celles présentées plus tard mais néanmoins dans le délai qu'il avait imparti en invoquant pour la première fois l'absence des places disponibles.</w:t>
      </w:r>
    </w:p>
    <w:p>
      <w:pPr>
        <w:pStyle w:val="Heading2"/>
      </w:pPr>
      <w:r>
        <w:t>Erwägungen</w:t>
      </w:r>
    </w:p>
    <w:p>
      <w:r>
        <w:rPr>
          <w:b/>
        </w:rPr>
        <w:t>E. 12</w:t>
      </w:r>
    </w:p>
    <w:p>
      <w:r>
        <w:t>septembre 1985 - LPA - E 5 10). 2)</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- 6/10 - A/622/2018</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w:t>
      </w:r>
    </w:p>
    <w:p>
      <w:r>
        <w:t>En l’espèce, les demandes d’admission pour l’année scolaire ont été adressées à l’autorité compétente le 19 janvier 2018. Elles tombaient alors sous le coup de l’art. 23 aREP. Compte tenu de la teneur identique de ce dernier article à celle de de l’art. 23A REP et du texte de la disposition transitoire, le cas peut être tranché dans le cadre du droit actuel. 3)</w:t>
      </w:r>
    </w:p>
    <w:p>
      <w:r>
        <w:t>Il n’est pas contesté que les demandes d’admission en cause ont été présentées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w:t>
      </w:r>
    </w:p>
    <w:p>
      <w:r>
        <w:t>- 7/10 - A/622/2018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 ue le principe de la bonne oi e primé au art et al Cst. e ige ue l’administration et les administrés se comportent réciproquement de mani re lo ale n particulier l’administration doit s’abstenir de toute attitude propre tromper l’administré et elle ne saurait tirer aucun avantage des consé uences d’une incorrection ou insu isance de sa part (ATF 138 I 49 consid. 8.3 ; 129 I 161 consid. 4 ; 129 II 361 consid. 7.1 ; arrêt du Tribunal fédéral 1C_18/2015 du 22 mai 2015 consid. 3). Il protège le citoyen dans la confiance légitime u’il met dans les assurances reçues des autorités lorsqu'il a r glé sa conduite d'après des décisions, des déclarations ou un comportement déterminé de l'administration (ATF 137 II 182 consid. 3.6.2 ; 137 I 6 consid 2 1) La protection de la bonne oi ne s’appli ue pas si l’intéressé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- 8/10 - A/622/2018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celles des intéressés. 5)</w:t>
      </w:r>
    </w:p>
    <w:p>
      <w:r>
        <w:t>Au vu de ce qui précède, le recours sera admis et les décisions querellées seront annulées. Le dossier sera retourné au DIP pour nouvelles décisions conformes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w:t>
      </w:r>
    </w:p>
    <w:p>
      <w:r>
        <w:t>- 9/10 - A/622/2018</w:t>
      </w:r>
    </w:p>
    <w:p>
      <w:r>
        <w:t>7)</w:t>
      </w:r>
    </w:p>
    <w:p>
      <w:r>
        <w:t>Aucun émolument ne sera perçu malgré l’issue du litige (art. 87 al. 1 LPA). Aucune indemnité de procédure ne sera allouée, les recourants agissant en personne et n’ayant pas exposé avoir encouru de frais pour la défense de leurs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