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ATA/473/2004 vom 25. Mai 2004</w:t>
      </w:r>
    </w:p>
    <w:p>
      <w:r>
        <w:t>GE Cour de justice, 2004-05-25, FR</w:t>
      </w:r>
    </w:p>
    <w:p>
      <w:r>
        <w:rPr>
          <w:b/>
        </w:rPr>
        <w:t xml:space="preserve">Quelle: </w:t>
      </w:r>
      <w:r>
        <w:t>https://mcp.opencaselaw.ch/entscheid/ge_gerichte_ATA_473_2004</w:t>
      </w:r>
    </w:p>
    <w:p>
      <w:r>
        <w:t>FR: GE_GERICHTE ATA/473/2004 du 25 mai 2004</w:t>
      </w:r>
    </w:p>
    <w:p>
      <w:r>
        <w:t>IT: GE_GERICHTE ATA/473/2004 del 25 maggio 2004</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Dans son recours, le département s'oppose à la délivrance de l'autorisation de construire la palissade ainsi que la cabane de jardin. Il sera relevé qu'aucun argument spécifique n'a été développé à l'encontre de ce dernier édifice.</w:t>
      </w:r>
    </w:p>
    <w:p>
      <w:r>
        <w:rPr>
          <w:b/>
        </w:rPr>
        <w:t>E. 3</w:t>
      </w:r>
    </w:p>
    <w:p>
      <w:r>
        <w:t>Le DAEL soutient que la commission de recours a procédé à une appréciation arbitraire des faits résultant d'un formalisme excessif en décidant d'écarter les préavis de la commission d'architecture des 12 mars et 23 avril 2002 ainsi que celui de la direction du génie civil du 12 mars 2002.</w:t>
      </w:r>
    </w:p>
    <w:p>
      <w:r>
        <w:t>a. La procédure administrative est gouvernée par la maxime inquisitoire. En procédure genevoise, l'autorité établit les faits d'office. Elle n'est pas limitée par les allégués et les offres de preuves des parties (art. 19 LPA).</w:t>
      </w:r>
    </w:p>
    <w:p>
      <w:r>
        <w:t>b. Conformément à l'article 24 LPA, l'autorité peut inviter les parties à la renseigner, notamment en produisant les pièces en leur possession ou à se prononcer sur les faits constatés ou allégués et leur fixer un délai à cet effet (al. 1). L'autorité apprécie librement l'attitude d'une partie qui refuse de produire une pièce ou d'indiquer où celle-ci se trouve. Elle peut ainsi le cas échéant déclarer irrecevables les conclusions des parties qui refusent de produire les pièces et autres renseignements indispensables pour que l'autorité puisse prendre sa décision (al. 2).</w:t>
      </w:r>
    </w:p>
    <w:p>
      <w:r>
        <w:t>c. Il y a formalisme excessif lorsque la stricte application des règles de procédure ne se justifie par aucun intérêt digne de protection, devient une fin en soi et complique de manière insoutenable l'application du droit matériel ou entrave de manière inadmissible l'accès aux tribunaux (ATF 120 II 425 consid. 2a; 119 Ia consid. 2a p. 6; 118 Ia 14 consid. 2a p. 15; consid. 4 p. 244).</w:t>
      </w:r>
    </w:p>
    <w:p>
      <w:r>
        <w:t>- 10 -</w:t>
      </w:r>
    </w:p>
    <w:p>
      <w:r>
        <w:t>C'est en particulier le cas lorsque la violation d'une règle de forme de peu d'importance entraîne une sanction grave et disproportionnée (P. MOOR, Droit administratif, Berne 1991, vol. II, p. 153).</w:t>
      </w:r>
    </w:p>
    <w:p>
      <w:r>
        <w:t>d. Le département ne conteste pas que son dossier ne contenait pas, par mégarde, le préavis du génie civil. Il relève toutefois que ce document a été produit par les époux Rivara de sorte que tant ces derniers que la commission de recours ont pu se déterminer à cet égard. Quant aux préavis de la commission d'architecture, sa position ressortait clairement des procès-verbaux des séances des 12 mars et 23 avril 2002, figurant dans son dossier, les époux Rivara ayant également produit ces préavis dans leur chargé.</w:t>
      </w:r>
    </w:p>
    <w:p>
      <w:r>
        <w:t>Etant donné que les pièces litigieuses figuraient à la procédure et qu'elles lui permettaient de statuer, il y a lieu de considérer que la commission de recours a fait preuve de formalisme excessif. Cela étant, ce grief demeurera sans incidence sur l'issue du présent litige. En effet, dès lors que le Tribunal de céans dispose de ces pièces, le vice entachant la décision querellée doit être considéré comme réparé.</w:t>
      </w:r>
    </w:p>
    <w:p>
      <w:r>
        <w:rPr>
          <w:b/>
        </w:rPr>
        <w:t>E. 4</w:t>
      </w:r>
    </w:p>
    <w:p>
      <w:r>
        <w:t>Le département conteste avoir conclu un accord avec les époux Rivara, le procès-verbal daté du 4 mai 2001 ne pouvant être considéré comme tel et, partant, comme ayant violé le principe du respect de la protection de la bonne foi.</w:t>
      </w:r>
    </w:p>
    <w:p>
      <w:r>
        <w:rPr>
          <w:b/>
        </w:rPr>
        <w:t>E. 5</w:t>
      </w:r>
    </w:p>
    <w:p>
      <w:r>
        <w:t>a. Le droit à la protection de la bonne foi découle directement de l'article 9 de la Constitution fédérale du 18 avril 1999, entrée en vigueur le 1er janvier 2000 (Cst RS 101) selon lequel toute personne a le droit d'être traitée par les organes de l'Etat sans arbitraire et conformément aux règles de la bonne foi. Ce droit était déjà contenu dans l'article 4 aCst. Il permet d'exiger, à certaines conditions, que l'autorité respecte ses promesses et évite de se contredire. Le citoyen est ainsi protégé dans la confiance légitime qu'il met dans les assurances reçues des autorités, lorsqu'il a réglé sa conduite en fonction des décisions, déclarations ou d'un comportement déterminé de l'administration. Pour pouvoir se plaindre avec succès de la violation d'une promesse donnée par l'autorité administrative, il faut :</w:t>
      </w:r>
    </w:p>
    <w:p>
      <w:r>
        <w:t>que cette autorité soit intervenue dans une situation concrète à l'égard de personnes déterminées;</w:t>
      </w:r>
    </w:p>
    <w:p>
      <w:r>
        <w:t>qu'elle ait agi ou soit censée avoir agi dans les limites de sa compétence;</w:t>
      </w:r>
    </w:p>
    <w:p>
      <w:r>
        <w:t>que l'administré ait eu de sérieuses raisons de croire à la validité de l'acte suivant lequel il a réglé sa conduite;</w:t>
      </w:r>
    </w:p>
    <w:p>
      <w:r>
        <w:t>- 11 -</w:t>
      </w:r>
    </w:p>
    <w:p>
      <w:r>
        <w:t>qu'il se soit fondé sur les assurances et le comportement dont il se prévaut pour prendre des dispositions qu'il ne saurait modifier sans subir un préjudice;</w:t>
      </w:r>
    </w:p>
    <w:p>
      <w:r>
        <w:t>qu'aucun intérêt public prépondérant ne s'oppose à l'intérêt de l'administré à se prévaloir du principe de la bonne foi (ATF 117 Ia 287 consid. 2b; 116 Ib consid. 3c et les arrêts cités).</w:t>
      </w:r>
    </w:p>
    <w:p>
      <w:r>
        <w:t>b. La jurisprudence a admis que le droit à la protection de la bonne foi peut aussi être invoqué en présence, simplement, d'un comportement de l'administration susceptible d'éveiller chez l'administré une attente ou une espérance légitime (ATF 129 II 361, p. 381 et les références citées).</w:t>
      </w:r>
    </w:p>
    <w:p>
      <w:r>
        <w:t>c. Il est constant que dans le cadre de la procédure de vente de gré à gré de la parcelle nécessaire à l'édification du trottoir initiée par le département, les parties se sont rencontrées le 4 mai 2001 et ont signé un procès-verbal mentionnant expressément: "remise en état après travaux de la végétation herbeuse (remodelage), volonté des propriétaires de mettre en limite du trottoir une palissade bois (à coordonner dans le cadre des travaux)". Ce procès-verbal portait la mention "bon pour accord".</w:t>
      </w:r>
    </w:p>
    <w:p>
      <w:r>
        <w:t>En application des conditions énoncées supra, il apparaît que les intimés pouvaient comprendre qu'un accord de principe avait été donné par les représentants du département à leur demande d'ériger une palissade moyennant la cession de leur part du terrain utile à la construction du trottoir.</w:t>
      </w:r>
    </w:p>
    <w:p>
      <w:r>
        <w:t>Toutefois, en déposant le 11 janvier 2002 une demande d'autorisation de construire, les intimés ont manifesté qu'ils avaient conscience du fait que leur projet devait encore être examiné et validé par une autorisation en bonne et due forme délivrée par le DAEL. En outre et surtout, les intimés ne peuvent se prévaloir d'aucun préjudice, n'ayant pas concrétisé leur projet. Partant, force est de constater que bien que le comportement du département ne soit pas exempt de toute critique, il ne peut lui être reproché la violation des règles de la bonne foi rappelées plus haut.</w:t>
      </w:r>
    </w:p>
    <w:p>
      <w:r>
        <w:rPr>
          <w:b/>
        </w:rPr>
        <w:t>E. 6</w:t>
      </w:r>
    </w:p>
    <w:p>
      <w:r>
        <w:t>Le département soutient que la commission de recours a procédé à une application erronée de l'article</w:t>
      </w:r>
    </w:p>
    <w:p>
      <w:r>
        <w:rPr>
          <w:b/>
        </w:rPr>
        <w:t>E. 11</w:t>
      </w:r>
    </w:p>
    <w:p>
      <w:r>
        <w:t>Reste à examiner si les constructions litigieuses contreviennent à la loi sur les constructions et les installations diverses du 14 avril 1988 (L 5 05 - LCI). Le DAEL soutient en effet que la construction litigieuse provoquerait un effet de cloisonnement nuisible en zone villas.</w:t>
      </w:r>
    </w:p>
    <w:p>
      <w:r>
        <w:rPr>
          <w:b/>
        </w:rPr>
        <w:t>E. 12</w:t>
      </w:r>
    </w:p>
    <w:p>
      <w:r>
        <w:t>Sur tout le territoire du canton, nul ne peut sans y avoir été autorisé élever en tout ou partie une construction ou une installation, notamment un bâtiment locatif, industriel ou agricole, une villa, un garage, un hangar, un mur, une clôture ou un portail (art. 1 al. 1 let. a LCI).</w:t>
      </w:r>
    </w:p>
    <w:p>
      <w:r>
        <w:t>- 15 -</w:t>
      </w:r>
    </w:p>
    <w:p>
      <w:r>
        <w:rPr>
          <w:b/>
        </w:rPr>
        <w:t>E. 13</w:t>
      </w:r>
    </w:p>
    <w:p>
      <w:r>
        <w:t>Conformément à l'article 15 LCI, sur préavis notamment de la commission d'architecture, de la commune et des services compétents,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w:t>
      </w:r>
    </w:p>
    <w:p>
      <w:r>
        <w:t>a. Cette disposition contient une clause d'esthétique dont la jurisprudence du Tribunal administratif précise qu'elle constitue une notion juridique imprécise, laissant un certain pouvoir d'appréciation à l'administration, celle-ci n'étant limitée que par l'excès ou l'abus de pouvoir (ATA B du 5 novembre 2002, A. GRISEL, Traité de droit administratif, Neuchâtel, 1984, pp. 332, 333; B. KNAPP, op.cit. N° 160 à 169).</w:t>
      </w:r>
    </w:p>
    <w:p>
      <w:r>
        <w:t>b. De jurisprudence constante et récemment confirmée par le tribunal de céans (ATA G. et N. L. du 20 janvier 2004), ce dernier observe une certaine retenue pour éviter de substituer sa propre appréciation à celle des commissions de préavis pour autant que l'autorité inférieure suive l'avis de celles-ci (ATA C. M. du 15 octobre 1996 et les arrêts cités).</w:t>
      </w:r>
    </w:p>
    <w:p>
      <w:r>
        <w:t>c. En revanche, lorsque la commission de recours s'écarte des préavis, le Tribunal administratif peut revoir librement l'interprétation des notions juridiques indéterminées, mais contrôle sous le seul angle de l'excès et de l'abus de pouvoir, l'exercice de la liberté d'appréciation de l'administration, en mettant l'accent sur le principe de la proportionnalité en cas de refus malgré un préavis favorable et sur le respect de l'intérêt public en cas d'octroi de l'autorisation malgré un préavis défavorable (ATA O. S.A. du 3 février 1998; D. du 20 décembre 1994; CEH du 9 août 1994; P. du 30 mars 1993).</w:t>
      </w:r>
    </w:p>
    <w:p>
      <w:r>
        <w:t>d. Enfin, et toujours selon une jurisprudence constante, le Tribunal administratif, lorsqu'il est confronté à des préavis divergents, a d'autant moins de raisons de s'imposer une certaine restriction de son propre pouvoir d'examen qu'il a procédé à un transport sur place (ATA A.P.V. du 6 février 2001 et les réf. cit.).</w:t>
      </w:r>
    </w:p>
    <w:p>
      <w:r>
        <w:t>Dès lors que, d'une part la commission de recours a écarté le préavis de la commission d'architecture de la procédure et que d'autre part le Tribunal administratif a procédé à un transport sur place, celui-ci reverra librement le caractère esthétique du projet de construction.</w:t>
      </w:r>
    </w:p>
    <w:p>
      <w:r>
        <w:rPr>
          <w:b/>
        </w:rPr>
        <w:t>E. 14</w:t>
      </w:r>
    </w:p>
    <w:p>
      <w:r>
        <w:t>Il sera cependant relevé que sous réserve de celui de la commission d'architecture, tous les préavis recueillis sont favorables au projet, moyennant en ce qui concerne la commune, la plantation de lierre grimpant sur</w:t>
      </w:r>
    </w:p>
    <w:p>
      <w:r>
        <w:t>- 16 -</w:t>
      </w:r>
    </w:p>
    <w:p>
      <w:r>
        <w:t>la palissade.</w:t>
      </w:r>
    </w:p>
    <w:p>
      <w:r>
        <w:t>La commission d'architecture, quant à elle, sollicite le retrait du mur d'environ 50cm par rapport à la limite de propriété ainsi que la mise en place d'une plantation persistante devant le mur et que le "tronçon de palissade soit placé derrière la haie". Elle se déclare toutefois d'accord avec les nouveaux éléments de palissade déjà posés sur la pointe de la parcelle.</w:t>
      </w:r>
    </w:p>
    <w:p>
      <w:r>
        <w:t>Il apparaît d'emblée que la commission d'architecture n'est pas opposée sur le principe à l'installation d'une palissade puisqu'elle s'est déclarée favorable à la construction provisoire existante. Concernant la condition du retrait du mur de 50 cm pour permettre la mise en place d'une plantation persistante, celle-ci se révèle excessive dès lors que l'exigence d'une couverture végétale peut être réalisée par la plantation de lierre grimpant n'impliquant pas une réduction de la parcelle, ce d'autant que l'on se situe dans le cadre d'une construction provisoire. Quant à l'exigence de l'implantation d'un tronçon de palissade derrière la haie, elle ne repose sur aucun motif raisonnable, réduisant elle aussi la parcelle des intimés sans justification.</w:t>
      </w:r>
    </w:p>
    <w:p>
      <w:r>
        <w:t>Partant la solution préconisée par les intimés, à savoir cacher la palissade par du lierre grimpant, permettra à satisfaction de ne pas porter atteinte au paysage et de ne pas briser l'harmonie des lieux.</w:t>
      </w:r>
    </w:p>
    <w:p>
      <w:r>
        <w:t>Quant au cabanon, aucun argument n'a été développé. Dans la mesure où cette construction sera elle aussi provisoire, rien ne s'oppose à son édification.</w:t>
      </w:r>
    </w:p>
    <w:p>
      <w:r>
        <w:rPr>
          <w:b/>
        </w:rPr>
        <w:t>E. 15</w:t>
      </w:r>
    </w:p>
    <w:p>
      <w:r>
        <w:t>En conclusion, le recours sera rejeté et renvoyé au département pour qu'il délivre une autorisation de construire la palissade en bois végétalisée et la cabane de jardin, à titre précaire, en ce sens que M. et Mme Rivara s'engagent, moyennant inscription au registre foncier de procéder à la destruction de ces ouvrages à première réquisition du département et ce dans la mesure où les travaux de l'élargissement de la route de Troinex l'imposent.</w:t>
      </w:r>
    </w:p>
    <w:p>
      <w:r>
        <w:rPr>
          <w:b/>
        </w:rPr>
        <w:t>E. 16</w:t>
      </w:r>
    </w:p>
    <w:p>
      <w:r>
        <w:t>Vu la qualité du recourant, il ne sera pas perçu d'émolument. Une indemnité de procédure de CHF 2'500.- sera allouée à M. et Mme Rivara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