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ATA/472/2024 vom 16. April 2024</w:t>
      </w:r>
    </w:p>
    <w:p>
      <w:r>
        <w:t>GE Cour de justice, 2024-04-16, FR</w:t>
      </w:r>
    </w:p>
    <w:p>
      <w:r>
        <w:rPr>
          <w:b/>
        </w:rPr>
        <w:t xml:space="preserve">Quelle: </w:t>
      </w:r>
      <w:r>
        <w:t>https://mcp.opencaselaw.ch/entscheid/ge_gerichte_ATA_472_2024</w:t>
      </w:r>
    </w:p>
    <w:p>
      <w:r>
        <w:t>FR: GE_GERICHTE ATA/472/2024 du 16 avril 2024</w:t>
      </w:r>
    </w:p>
    <w:p>
      <w:r>
        <w:t>IT: GE_GERICHTE ATA/472/2024 del 16 aprile 2024</w:t>
      </w:r>
    </w:p>
    <w:p>
      <w:pPr>
        <w:pStyle w:val="Heading2"/>
      </w:pPr>
      <w:r>
        <w:t>Regeste</w:t>
      </w:r>
    </w:p>
    <w:p>
      <w:r>
        <w:t>Résumé: Examen de la conformité au droit de la résiliation des rapports de service durant la période probatoire ainsi que de la demande de modification du certificat de travail. Pour autant qu'elle respecte les délais légaux, l'autorité employeuse dispose du droit de résilier sans motif les rapports de service durant la période probatoire, sauf violation d'un principe constitutionnel qui n'est pas constatée en l'espèce. Pas de possibilité de reclassement durant cette période. La mention de l'expression « de toute manière » dans le certificat de travail en lien avec l'appréciation des performances est potentiellement sujette à interprétation au détriment de la recourante et doit être supprimée. L'indication dans le certificat de travail de la période d'absence pour maladie à la base de la résiliation des rapports de travail est en revanche admissible. Admission partielle du recours.</w:t>
      </w:r>
    </w:p>
    <w:p>
      <w:pPr>
        <w:pStyle w:val="Heading2"/>
      </w:pPr>
      <w:r>
        <w:t>Erwägungen</w:t>
      </w:r>
    </w:p>
    <w:p>
      <w:r>
        <w:rPr>
          <w:b/>
        </w:rPr>
        <w:t>E. 7</w:t>
      </w:r>
    </w:p>
    <w:p>
      <w:r>
        <w:t>Vu l'issue du litige, un émolument de CHF 1'500.- sera mis à la charge de la recourante, qui succombe dans une large mesure (art. 87 al. 1 LPA) et une indemnité de procédure réduite de CHF 300.- lui sera accordée, à la charge des HUG (art. 87 al. 2 LPA). Il ne sera alloué aucune indemnité de procédure aux HUG, qui disposent de leur propre service juridique (ATA/605/2021 du 8 juin 2021 consid. 14 et les références citées).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