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ATA/471/2014 vom 24. Juni 2014</w:t>
      </w:r>
    </w:p>
    <w:p>
      <w:r>
        <w:t>GE Cour de justice, 2014-06-24, FR</w:t>
      </w:r>
    </w:p>
    <w:p>
      <w:r>
        <w:rPr>
          <w:b/>
        </w:rPr>
        <w:t xml:space="preserve">Quelle: </w:t>
      </w:r>
      <w:r>
        <w:t>https://mcp.opencaselaw.ch/entscheid/ge_gerichte_ATA_471_2014</w:t>
      </w:r>
    </w:p>
    <w:p>
      <w:r>
        <w:t>FR: GE_GERICHTE ATA/471/2014 du 24 juin 2014</w:t>
      </w:r>
    </w:p>
    <w:p>
      <w:r>
        <w:t>IT: GE_GERICHTE ATA/471/2014 del 24 giugno 2014</w:t>
      </w:r>
    </w:p>
    <w:p>
      <w:pPr>
        <w:pStyle w:val="Heading2"/>
      </w:pPr>
      <w:r>
        <w:t>Regeste</w:t>
      </w:r>
    </w:p>
    <w:p>
      <w:r>
        <w:t>Résumé: Confirmation de jurisprudence (ATF136 II 88).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composantes distinctes des fonds propres. Cette règle correctrice, dictée par le principe de l'imposition selon la capacité économique, n'emporte pas de violation du principe de l'égalité de traitement.</w:t>
      </w:r>
    </w:p>
    <w:p>
      <w:pPr>
        <w:pStyle w:val="Heading2"/>
      </w:pPr>
      <w:r>
        <w:t>Erwägungen</w:t>
      </w:r>
    </w:p>
    <w:p>
      <w:r>
        <w:rPr>
          <w:b/>
        </w:rPr>
        <w:t>E. 12</w:t>
      </w:r>
    </w:p>
    <w:p>
      <w:r>
        <w:t>septembre 1985 - LPA - E 5 10). 2)</w:t>
      </w:r>
    </w:p>
    <w:p>
      <w:r>
        <w:t>La question à trancher dans le présent litige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w:t>
      </w:r>
    </w:p>
    <w:p>
      <w:r>
        <w:t>En l’espèce, la recourante a comptabilisé une perte de conversion de CHF 947'098.- dans ses états financiers au 31 décembre 2006. Par décisions de taxation IFD et ICC du 6 novembre 2007, confirmées sur réclamation le 28 avril 2008, l’AFC-GE a refusé la déduction de ce montant inscrit en tant que charge dans le compte de pertes et profits et l’a réintégré tant dans le bénéfice que dans le capital imposables de la société. En cours de procédure de première instance, elle s’est ensuite engagée à déduire la perte de conversion litigieuse du capital imposable de la société, persistant pour le surplus dans ses décisions. Le litige ne portant plus que sur le bénéfice imposable déterminant pour l’IFD et l’ICC, le TAPI a, dans son jugement du 9 mai 2011, suivi la position de l’AFC-GE et considéré que les écarts de conversion ne devaient pas être pris en compte dans le résultat de l’exercice 2006.</w:t>
      </w:r>
    </w:p>
    <w:p>
      <w:r>
        <w:t>IFD 2006 3)</w:t>
      </w:r>
    </w:p>
    <w:p>
      <w:r>
        <w:t>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w:t>
      </w:r>
    </w:p>
    <w:p>
      <w:r>
        <w:t>- 12/26 - A/1935/2008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w:t>
      </w:r>
    </w:p>
    <w:p>
      <w:r>
        <w:t>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w:t>
      </w:r>
    </w:p>
    <w:p>
      <w:r>
        <w:t>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w:t>
      </w:r>
    </w:p>
    <w:p>
      <w:r>
        <w:t>- 13/26 - A/1935/2008 droit de la société anonyme, et de différencier les exigences selon l’importance économique de l’entreprise (Message du Conseil fédéral concernant la révision du code des obligations, du 21 décembre 2007, FF 2008 1407, p. 1410).</w:t>
      </w:r>
    </w:p>
    <w:p>
      <w:r>
        <w:t>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w:t>
      </w:r>
    </w:p>
    <w:p>
      <w:r>
        <w:t>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w:t>
      </w:r>
    </w:p>
    <w:p>
      <w:r>
        <w:t>Le litige porte sur des décisions de taxation IFD pour l’année 2006. C’est donc à l’aune de l’ancien droit, dans sa teneur en vigueur jusqu’au 31 décembre 2012, qu’il doit être résolu. 5)</w:t>
      </w:r>
    </w:p>
    <w:p>
      <w:r>
        <w:t>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w:t>
      </w:r>
    </w:p>
    <w:p>
      <w:r>
        <w:t>- 14/26 - A/1935/2008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w:t>
      </w:r>
    </w:p>
    <w:p>
      <w:r>
        <w:t>Sur ce point, l’ancien et le nouveau droit comptable prévoient donc une réglementation similaire. 6)</w:t>
      </w:r>
    </w:p>
    <w:p>
      <w:r>
        <w:t>Pour le surplus, le droit comptable ne règle pas la conversion des comptes tenus en monnaie fonctionnelle étrangère dans la monnaie nationale de présentation.</w:t>
      </w:r>
    </w:p>
    <w:p>
      <w:r>
        <w:t>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w:t>
      </w:r>
    </w:p>
    <w:p>
      <w:r>
        <w:t>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w:t>
      </w:r>
    </w:p>
    <w:p>
      <w:r>
        <w:t>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w:t>
      </w:r>
    </w:p>
    <w:p>
      <w:r>
        <w:t>Les normes comptables internationales, élaborées par le bureau des standards comptables internationaux, prévoient un autre mode de comptabilisation des écarts de conversion litigieux.</w:t>
      </w:r>
    </w:p>
    <w:p>
      <w:r>
        <w:t>- 15/26 - A/1935/2008</w:t>
      </w:r>
    </w:p>
    <w:p>
      <w:r>
        <w:t>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w:t>
      </w:r>
    </w:p>
    <w:p>
      <w:r>
        <w:t>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w:t>
      </w:r>
    </w:p>
    <w:p>
      <w:r>
        <w:t>- 16/26 - A/1935/2008 autres éléments du résultat global ; (c) le résultat global de la période, c’est-à-dire le total du résultat net et des autres éléments du résultat global. 7)</w:t>
      </w:r>
    </w:p>
    <w:p>
      <w:r>
        <w:t>Dans l’ATF 136 II 88, le Tribunal fédéral a tranché la question de savoir si les écarts de conversion influencent le bénéfice imposable d’une personne morale. Il a confirmé la solution à laquelle la juridiction de céans était parvenue dans l’ATA/562/2008 du 4 novembre 2008.</w:t>
      </w:r>
    </w:p>
    <w:p>
      <w:r>
        <w:t>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w:t>
      </w:r>
    </w:p>
    <w:p>
      <w:r>
        <w:t>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w:t>
      </w:r>
    </w:p>
    <w:p>
      <w:r>
        <w:t>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 ci n’étaient pas établis conformément aux règles comptables (consid. 5.1).</w:t>
      </w:r>
    </w:p>
    <w:p>
      <w:r>
        <w:t>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w:t>
      </w:r>
    </w:p>
    <w:p>
      <w:r>
        <w:t>- 17/26 - A/1935/2008 transaction dans cette monnaie, elle ne pouvait enregistrer aucun gain ou perte de change. Peu importait que ses comptes établis en USD dussent par la suite être convertis dans une monnaie de présentation différente, en l’occurrence le CHF (consid. 5.2).</w:t>
      </w:r>
    </w:p>
    <w:p>
      <w:r>
        <w:t>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w:t>
      </w:r>
    </w:p>
    <w:p>
      <w:r>
        <w:t>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 delà de sa capacité contributive (consid. 5.5). 8)</w:t>
      </w:r>
    </w:p>
    <w:p>
      <w:r>
        <w:t>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w:t>
      </w:r>
    </w:p>
    <w:p>
      <w:r>
        <w:t>- 18/26 - A/1935/2008 Traitement fiscal des écarts de conversion, Un revirement de jurisprudence s’imposerait-il ?, ECS 6-7/11 p. 530 ss ; Cédric BIGNENS/Marie-Hélène REVAZ, Traitement comptable et fiscal des écarts de conversion, Commentaire de l’arrêt du Tribunal fédéral du 1er octobre 2009, ECS 6-7-/10 p. 418 ss ; Marco DUSS/Fabien DUSS, Währungsdifferenzen aus Umrechnung bei Buchführung in Fremdwährung, ST 6-7/10 p. 407 ss). 9)</w:t>
      </w:r>
    </w:p>
    <w:p>
      <w:r>
        <w:t>Les différents griefs soulevés par la recourante n’infirment pas le raisonnement suivi par le Tribunal fédéral dans l’ATF 136 II 88. La conclusion à laquelle notre Haute Cour est parvenue dispose d’un fondement juridique solide auquel il convient de se rallier.</w:t>
      </w:r>
    </w:p>
    <w:p>
      <w:r>
        <w:t>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w:t>
      </w:r>
    </w:p>
    <w:p>
      <w:r>
        <w:t>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w:t>
      </w:r>
    </w:p>
    <w:p>
      <w:r>
        <w:t>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w:t>
      </w:r>
    </w:p>
    <w:p>
      <w:r>
        <w:t>- 19/26 - A/1935/2008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10) Pour en comprendre la portée, la notion d’écarts de conversion doit s’appréhender en parallèle de celles de monnaie fonctionnelle et de monnaie de présentation.</w:t>
      </w:r>
    </w:p>
    <w:p>
      <w:r>
        <w:t>La monnaie fonctionnelle se définit comme celle qui caractérise l’environnement économique d’une entreprise, soit la monnaie la plus importante eu égard à ses activités (ATF 136 II 88 consid. 4.1 et les références citée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w:t>
      </w:r>
    </w:p>
    <w:p>
      <w:r>
        <w:t>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w:t>
      </w:r>
    </w:p>
    <w:p>
      <w:r>
        <w:t>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w:t>
      </w:r>
    </w:p>
    <w:p>
      <w:r>
        <w:t>- 20/26 - A/1935/2008</w:t>
      </w:r>
    </w:p>
    <w:p>
      <w:r>
        <w:t>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impacte le fonctionnement de l’entreprise concernée. A l’inverse, des écarts de conversion enregistrés sur chacune des rubriques d’une entreprise tenues en monnaie étrangère n’impactent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w:t>
      </w:r>
    </w:p>
    <w:p>
      <w:r>
        <w:t>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w:t>
      </w:r>
    </w:p>
    <w:p>
      <w:r>
        <w:t>- 21/26 - A/1935/2008</w:t>
      </w:r>
    </w:p>
    <w:p>
      <w:r>
        <w:t>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w:t>
      </w:r>
    </w:p>
    <w:p>
      <w:r>
        <w:t>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n’impactent pas la monnaie fonctionnelle de l’entreprise et n’ont que peu ou pas d’effet direct sur ses flux de trésorerie actuels ou futurs (ch. 41). Ils ne doivent figurer qu’au bilan, afin d’équilibrer l’actif et le passif.</w:t>
      </w:r>
    </w:p>
    <w:p>
      <w:r>
        <w:t>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La recourante soutient avec raison qu’indépendamment de leur mode de comptabilisation, la seule question déterminante pour l’issue du présent litige est</w:t>
      </w:r>
    </w:p>
    <w:p>
      <w:r>
        <w:t>- 22/26 - A/1935/2008 de savoir si un écart de conversion positif ou négatif affecte la capacité contributive d’une entreprise et accroît ou réduit son capital propre entre le début et la fin de la période fiscale.</w:t>
      </w:r>
    </w:p>
    <w:p>
      <w:r>
        <w:t>Elle erre toutefois lorsqu’elle prétend que l’examen de cette capacité contributive et de l’évolution du patrimoine d’une entreprise devrait s’apprécier sur la base des comptes convertis en monnaie de présentation.</w:t>
      </w:r>
    </w:p>
    <w:p>
      <w:r>
        <w:t>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w:t>
      </w:r>
    </w:p>
    <w:p>
      <w:r>
        <w:t>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Contrairement à ce que soutient la recourante, le Tribunal fédéral n’a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w:t>
      </w:r>
    </w:p>
    <w:p>
      <w:r>
        <w:t>- 23/26 - A/1935/2008</w:t>
      </w:r>
    </w:p>
    <w:p>
      <w:r>
        <w:t>En tout état de cause, la règle correctrice querellée ne déploie ses effets qu’au niveau fiscal, les comptes statutaires demeurant déterminants pour l’application des dispositions de droit commercial (Robert DANON, Commentaire Romand, op. cit., n. 45 ad art. 57-58 LIFD). 15) Quant au grief d’inégalité de traitement soulevé par le recourante, il n’a pas plus de substance.</w:t>
      </w:r>
    </w:p>
    <w:p>
      <w:r>
        <w:t>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4ème éd., 2012, p. 35, n. 21 et les références jurisprudentielles citées, ainsi que n. 38).</w:t>
      </w:r>
    </w:p>
    <w:p>
      <w:r>
        <w:t>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w:t>
      </w:r>
    </w:p>
    <w:p>
      <w:r>
        <w:t>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w:t>
      </w:r>
    </w:p>
    <w:p>
      <w:r>
        <w:t>- 24/26 - A/1935/2008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w:t>
      </w:r>
    </w:p>
    <w:p>
      <w:r>
        <w:t>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à l’exercice 2006 en monnaie suisse de présentation a généré un écart de change de CHF 947'098.-.</w:t>
      </w:r>
    </w:p>
    <w:p>
      <w:r>
        <w:t>Ce dernier ne correspond pas à des pertes de change que cette entreprise aurait subies lors de transactions opérées dans d’autres monnaies que sa monnaie fonctionnelle et qui figureraient dans ses comptes établis en USD. Il ne s’agit que d’un écart de conversion au sens défini plus haut, soit d’un ajustement comptable apparu lors de la conversion de ses comptes en CHF et dépourvu d’impact réel sur son fonctionnement. Cet écart de conversion, destiné à équilibrer ses comptes, ne constitue donc pas une dépense justifiée par l’usage commercial.</w:t>
      </w:r>
    </w:p>
    <w:p>
      <w:r>
        <w:t>Conformément à l’art. 58 al. 1 let. b LIFD, l’AFC-GE était, partant, en droit de s’écarter des comptes qui lui étaient présentés et de réintégrer le montant de CHF 947'098.- dans le bénéfice imposable de la recourante. En tant qu’il parvient à la même conclusion, le jugement du TAPI en matière d’IFD doit être confirmé.</w:t>
      </w:r>
    </w:p>
    <w:p>
      <w:r>
        <w:t>ICC 2006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w:t>
      </w:r>
    </w:p>
    <w:p>
      <w:r>
        <w:t>- 25/26 - A/1935/2008 des produits qui n’ont pas été comptabilisés dans le compte de résultat au sens de la let. j. Bien que rédigé différemment, l’art. 12 LIPM a la même portée que l’art. 58 al. 1 LIFD (ATA/337/2013 du 28 mai 2013 ; ATA/633/2011 du 11 octobre 2011 ; ATA/152/2011 du 8 mars 2011).</w:t>
      </w:r>
    </w:p>
    <w:p>
      <w:r>
        <w:t>Toutes les considérations émises ci-dessus pour la taxation IFD 2006 sont donc également valables pour l’ICC sur le bénéfice. La recourante ne pouvait pas porter en déduction de son bénéfice net la perte de conversion de CHF 947'098.- qui, du point de vue fiscal, doit s’appréhender en tant que composante distincte de ses fonds propres.</w:t>
      </w:r>
    </w:p>
    <w:p>
      <w:r>
        <w:t>Pour le reste, il n’y a pas de contradiction à ce que cette perte de conversion soit parallèlement déduite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w:t>
      </w:r>
    </w:p>
    <w:p>
      <w:r>
        <w:t>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