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ATA/470/2014 vom 24. Juni 2014</w:t>
      </w:r>
    </w:p>
    <w:p>
      <w:r>
        <w:t>GE Cour de justice, 2014-06-24, FR</w:t>
      </w:r>
    </w:p>
    <w:p>
      <w:r>
        <w:rPr>
          <w:b/>
        </w:rPr>
        <w:t xml:space="preserve">Quelle: </w:t>
      </w:r>
      <w:r>
        <w:t>https://mcp.opencaselaw.ch/entscheid/ge_gerichte_ATA_470_2014</w:t>
      </w:r>
    </w:p>
    <w:p>
      <w:r>
        <w:t>FR: GE_GERICHTE ATA/470/2014 du 24 juin 2014</w:t>
      </w:r>
    </w:p>
    <w:p>
      <w:r>
        <w:t>IT: GE_GERICHTE ATA/470/2014 del 24 giugno 2014</w:t>
      </w:r>
    </w:p>
    <w:p>
      <w:pPr>
        <w:pStyle w:val="Heading2"/>
      </w:pPr>
      <w:r>
        <w:t>Regeste</w:t>
      </w:r>
    </w:p>
    <w:p>
      <w:r>
        <w:t>Résumé: Confirmation de jurisprudence (ATF136 II 88).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composantes distinctes des fonds propres. Cette règle correctrice, dictée par le principe de l'imposition selon la capacité économique, n'emporte pas de violation du principe de l'égalité de traitement.</w:t>
      </w:r>
    </w:p>
    <w:p>
      <w:pPr>
        <w:pStyle w:val="Heading2"/>
      </w:pPr>
      <w:r>
        <w:t>Erwägungen</w:t>
      </w:r>
    </w:p>
    <w:p>
      <w:r>
        <w:rPr>
          <w:b/>
        </w:rPr>
        <w:t>E. 12</w:t>
      </w:r>
    </w:p>
    <w:p>
      <w:r>
        <w:t>septembre 1985 - LPA - E 5 10). 2)</w:t>
      </w:r>
    </w:p>
    <w:p>
      <w:r>
        <w:t>La question à trancher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w:t>
      </w:r>
    </w:p>
    <w:p>
      <w:r>
        <w:t>En l’espèce, la recourante a comptabilisé des pertes de conversion de CHF 13'603'000.- et de CHF 12'386'000.- dans ses états financiers au 31 décembre 2003 et 2004. Par décisions de taxation IFD et ICC des 25 et 27 juillet 2006, confirmées sur réclamation le 12 septembre 2006, l’AFC-GE a refusé la déduction de ces montants inscrits en tant que charges dans les comptes de pertes et profits et les a réintégrés tant dans le bénéfice que dans le capital imposables de</w:t>
      </w:r>
    </w:p>
    <w:p>
      <w:r>
        <w:t>- 9/24 - A/3687/2006 la société. En cours de procédure de première instance, elle s’est ensuite engagée à déduire les pertes de conversion litigieuses du capital imposable de la société, persistant pour le surplus dans ses décisions. Le litige ne portant plus que sur le bénéfice imposable déterminant pour l’IFD et l’ICC, le TAPI a, dans son jugement du 9 mai 2011, suivi la position de l’AFC-GE et considéré que les écarts de conversion ne devaient pas être pris en compte dans le résultat des exercices 2003 et 2004.</w:t>
      </w:r>
    </w:p>
    <w:p>
      <w:r>
        <w:t>Impôt fédéral direct 2003 et 2004 3)</w:t>
      </w:r>
    </w:p>
    <w:p>
      <w:r>
        <w:t>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w:t>
      </w:r>
    </w:p>
    <w:p>
      <w:r>
        <w:t>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w:t>
      </w:r>
    </w:p>
    <w:p>
      <w:r>
        <w:t>Le droit fiscal et le droit comptable suisses poursuivent en effet des objectifs différents. Le premier recherche une présentation qui fasse ressortir au mieux le</w:t>
      </w:r>
    </w:p>
    <w:p>
      <w:r>
        <w:t>- 10/24 - A/3687/2006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 true and fair », comme celui prévalant dans les normes de comptabilité internationales (Pierre-Marie GLAUSER, Apports et impôt sur le bénéfice, vol. 2, 2005, p. 96-97). 4)</w:t>
      </w:r>
    </w:p>
    <w:p>
      <w:r>
        <w:t>Le droit suisse de la comptabilité commerciale figure aux art. 957 et suivants du CO. Ces dispositions ont été modifiées, par révision du 23 décembre 2011 entrée en vigueur le 1er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code des obligations, du 21 décembre 2007, FF 2008 1407, p. 1410).</w:t>
      </w:r>
    </w:p>
    <w:p>
      <w:r>
        <w:t>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w:t>
      </w:r>
    </w:p>
    <w:p>
      <w:r>
        <w:t>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w:t>
      </w:r>
    </w:p>
    <w:p>
      <w:r>
        <w:t>- 11/24 - A/3687/2006 nécessaire que les comptes annuels établis selon le CO servent de base à la taxation (FF 2008 1407, p. 1522).</w:t>
      </w:r>
    </w:p>
    <w:p>
      <w:r>
        <w:t>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w:t>
      </w:r>
    </w:p>
    <w:p>
      <w:r>
        <w:t>Le litige porte sur des décisions de taxation IFD pour les années 2003 et 2004. C’est donc à l’aune de l’ancien droit, dans sa teneur en vigueur jusqu’au 31 décembre 2012, qu’il doit être résolu. 5)</w:t>
      </w:r>
    </w:p>
    <w:p>
      <w:r>
        <w:t>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w:t>
      </w:r>
    </w:p>
    <w:p>
      <w:r>
        <w:t>Sur ce point, l’ancien et le nouveau droit comptable prévoient donc une réglementation similaire. 6)</w:t>
      </w:r>
    </w:p>
    <w:p>
      <w:r>
        <w:t>Pour le surplus, le droit comptable ne règle pas la conversion des comptes tenus en monnaie fonctionnelle étrangère dans la monnaie nationale de présentation.</w:t>
      </w:r>
    </w:p>
    <w:p>
      <w:r>
        <w:t>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w:t>
      </w:r>
    </w:p>
    <w:p>
      <w:r>
        <w:t>Les écarts de conversion ou de change doivent être distingués des opérations de change ; les premiers sont des opérations comptables d’ajustement de valeurs qui sont destinées à enregistrer des probabilités, tandis que les seconds se</w:t>
      </w:r>
    </w:p>
    <w:p>
      <w:r>
        <w:t>- 12/24 - A/3687/2006 rapportent à des opérations commerciales effectuées dans une monnaie différente de la monnaie fonctionnelle de l’entreprise et donnant lieu à des pertes ou à des gains effectifs (Eric CAUSIN, Droit comptable des entreprises, 2002, p. 778-783, n. 1179-1190).</w:t>
      </w:r>
    </w:p>
    <w:p>
      <w:r>
        <w:t>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w:t>
      </w:r>
    </w:p>
    <w:p>
      <w:r>
        <w:t>Les normes comptables internationales, élaborées par le bureau des standards comptables internationaux, prévoient un autre mode de comptabilisation des écarts de conversion.</w:t>
      </w:r>
    </w:p>
    <w:p>
      <w:r>
        <w:t>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w:t>
      </w:r>
    </w:p>
    <w:p>
      <w:r>
        <w:t>- 13/24 - A/3687/2006 composante distincte des capitaux propres jusqu’à la sortie de l’établissement à l’étranger (ch. 41) ».</w:t>
      </w:r>
    </w:p>
    <w:p>
      <w:r>
        <w:t>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7)</w:t>
      </w:r>
    </w:p>
    <w:p>
      <w:r>
        <w:t>Dans l’ATF 136 II 88, le Tribunal fédéral a tranché la question de savoir si les écarts de conversion influencent le bénéfice imposable d’une personne morale. Il a confirmé la solution à laquelle la juridiction de céans était parvenue dans l’ATA/562/2008 du 4 novembre 2008.</w:t>
      </w:r>
    </w:p>
    <w:p>
      <w:r>
        <w:t>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w:t>
      </w:r>
    </w:p>
    <w:p>
      <w:r>
        <w:t>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w:t>
      </w:r>
    </w:p>
    <w:p>
      <w:r>
        <w:t>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 ci n’étaient pas établis conformément aux règles comptables (consid. 5.1).</w:t>
      </w:r>
    </w:p>
    <w:p>
      <w:r>
        <w:t>- 14/24 - A/3687/2006</w:t>
      </w:r>
    </w:p>
    <w:p>
      <w:r>
        <w:t>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w:t>
      </w:r>
    </w:p>
    <w:p>
      <w:r>
        <w:t>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w:t>
      </w:r>
    </w:p>
    <w:p>
      <w:r>
        <w:t>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w:t>
      </w:r>
    </w:p>
    <w:p>
      <w:r>
        <w:t>- 15/24 - A/3687/2006 porté atteinte au principe de l’égalité de l’imposition, ni imposé la recourante au- delà de sa capacité contributive (consid. 5.5). 8)</w:t>
      </w:r>
    </w:p>
    <w:p>
      <w:r>
        <w:t>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1er octobre 2009, ECS 6-7-/10 p. 418 ss ; Marco DUSS/Fabien DUSS, Währungsdifferenzen aus Umrechnung bei Buchführung in Fremdwährung, ST 6-7/10 p. 407 ss). 9)</w:t>
      </w:r>
    </w:p>
    <w:p>
      <w:r>
        <w:t>Les différents griefs soulevés par la recourante n’infirment pas le raisonnement suivi par le Tribunal fédéral dans l’ATF 136 II 88. La conclusion à laquelle notre Haute Cour est parvenue dispose d’un fondement juridique solide auquel il convient de se rallier.</w:t>
      </w:r>
    </w:p>
    <w:p>
      <w:r>
        <w:t>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w:t>
      </w:r>
    </w:p>
    <w:p>
      <w:r>
        <w:t>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w:t>
      </w:r>
    </w:p>
    <w:p>
      <w:r>
        <w:t>- 16/24 - A/3687/2006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w:t>
      </w:r>
    </w:p>
    <w:p>
      <w:r>
        <w:t>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 10) Pour en comprendre la portée, la notion d’écarts de conversion doit s’appréhender en parallèle de celles de monnaie fonctionnelle et de monnaie de présentation.</w:t>
      </w:r>
    </w:p>
    <w:p>
      <w:r>
        <w:t>La monnaie fonctionnelle se définit comme celle qui caractérise l’environnement économique d’une entreprise, soit la monnaie la plus importante eu égard à ses activités (ATF 136 II 88 consid. 4.1 et les références citée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w:t>
      </w:r>
    </w:p>
    <w:p>
      <w:r>
        <w:t>La monnaie de présentation est celle dans laquelle les états financiers d’une entreprise doivent être établis dans leur version finale. Pour les sociétés</w:t>
      </w:r>
    </w:p>
    <w:p>
      <w:r>
        <w:t>- 17/24 - A/3687/2006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w:t>
      </w:r>
    </w:p>
    <w:p>
      <w:r>
        <w:t>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w:t>
      </w:r>
    </w:p>
    <w:p>
      <w:r>
        <w:t>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impacte le fonctionnement de l’entreprise concernée. À l’inverse, des écarts de conversion enregistrés sur chacune des rubriques d’une entreprise tenues en monnaie étrangère n’impactent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11)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w:t>
      </w:r>
    </w:p>
    <w:p>
      <w:r>
        <w:t>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w:t>
      </w:r>
    </w:p>
    <w:p>
      <w:r>
        <w:t>- 18/24 - A/3687/2006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w:t>
      </w:r>
    </w:p>
    <w:p>
      <w:r>
        <w:t>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w:t>
      </w:r>
    </w:p>
    <w:p>
      <w:r>
        <w:t>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12)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w:t>
      </w:r>
    </w:p>
    <w:p>
      <w:r>
        <w:t>- 19/24 - A/3687/2006 en résultat net, parce qu’ils n’impactent pas la monnaie fonctionnelle de l’entreprise et n’ont que peu ou pas d’effet direct sur ses flux de trésorerie actuels ou futurs (ch. 41). Ils ne doivent figurer qu’au bilan, afin d’équilibrer l’actif et le passif.</w:t>
      </w:r>
    </w:p>
    <w:p>
      <w:r>
        <w:t>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13) Indépendamment de leur mode de comptabilisation, la seule question déterminante pour l’issue du présent litige est de savoir si un écart de conversion positif ou négatif affecte la capacité contributive d’une entreprise et accroît ou réduit son capital propre entre le début et la fin de la période fiscale.</w:t>
      </w:r>
    </w:p>
    <w:p>
      <w:r>
        <w:t>Pour les entreprises disposant d’une monnaie fonctionnelle étrangère, l’examen de leur capacité contributive et de l’évolution de leur patrimoine ne doit toutefois pas s’apprécier sur la base des comptes convertis en monnaie de présentation.</w:t>
      </w:r>
    </w:p>
    <w:p>
      <w:r>
        <w:t>Une entreprise, qui s’incorpore dans l’ordre juridique suisse, a en effet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w:t>
      </w:r>
    </w:p>
    <w:p>
      <w:r>
        <w:t>Moyennant cette correction dictée par le principe de l’imposition selon la capacité contributive au sens de l’art. 127 al. 2 Cst., c’est bien sur la base des comptes convertis en CHF que l’impôt sera ensuite fixé et dû par le contribuable. L’obligation de payer l’impôt sur le bénéfice en CHF s’impose à toute entreprise</w:t>
      </w:r>
    </w:p>
    <w:p>
      <w:r>
        <w:t>- 20/24 - A/3687/2006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14)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w:t>
      </w:r>
    </w:p>
    <w:p>
      <w:r>
        <w:t>En tout état de cause, la règle correctrice querellée ne déploie ses effets qu’au niveau fiscal, les comptes statutaires demeurant déterminants pour l’application des dispositions de droit commercial (cf. Robert DANON, Commentaire Romand, op. cit., n. 45 ad art. 57-58 LIFD). 15) Quant au grief d’inégalité de traitement soulevé par le recourante, il n’a pas plus de substance.</w:t>
      </w:r>
    </w:p>
    <w:p>
      <w:r>
        <w:t>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4ème éd., 2012, p. 35, n. 21 et les références jurisprudentielles citées, ainsi que n. 38).</w:t>
      </w:r>
    </w:p>
    <w:p>
      <w:r>
        <w:t>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w:t>
      </w:r>
    </w:p>
    <w:p>
      <w:r>
        <w:t>- 21/24 - A/3687/2006 exerçant exclusivement leurs activités en CHF, puisque ces dernières ne comptabilisent par définition aucun écart de conversion.</w:t>
      </w:r>
    </w:p>
    <w:p>
      <w:r>
        <w:t>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w:t>
      </w:r>
    </w:p>
    <w:p>
      <w:r>
        <w:t>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16) En l’espèce, la recourante tient sa comptabilité en USD qui constituent sa monnaie fonctionnelle. La conversion de ses comptes afférents aux exercices 2003 et 2004 en monnaie suisse de présentation a généré des écarts de change de CHF 13'603'000.- et CHF 12'386'000.- .</w:t>
      </w:r>
    </w:p>
    <w:p>
      <w:r>
        <w:t>Ces derniers ne correspondent pas à des pertes de change que cette entreprise aurait subies lors de transactions opérées dans d’autres monnaies que sa monnaie fonctionnelle et qui figureraient dans ses comptes établis en USD. Il ne</w:t>
      </w:r>
    </w:p>
    <w:p>
      <w:r>
        <w:t>- 22/24 - A/3687/2006 s’agit que d’écarts de conversion au sens défini plus haut, soit d’ajustements comptables apparus lors de la conversion de ses comptes en CHF et dépourvus d’impact réel sur son fonctionnement. Ces écarts de conversion, destinés à équilibrer ses comptes, ne représentent donc pas des dépenses justifiées par l’usage commercial.</w:t>
      </w:r>
    </w:p>
    <w:p>
      <w:r>
        <w:t>Conformément à l’art. 58 al. 1 let. b LIFD, l’AFC-GE était, partant, en droit de s’écarter des comptes qui lui étaient présentés et de réintégrer les montants querellés dans le bénéfice imposable de la recourante. En tant qu’il parvient à la même conclusion, le jugement du TAPI en matière d’IFD doit être confirmé.</w:t>
      </w:r>
    </w:p>
    <w:p>
      <w:r>
        <w:t>ICC 2003 et 2004 17)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 énoncés aux lettres b à i de cette même disposition, ainsi que des produits qui n’ont pas été comptabilisés dans le compte de résultat au sens de la let. j. Bien que rédigé différemment, l’art. 12 LIPM a la même portée que l’art. 58 al. 1 LIFD (ATA/337/2013 du 28 mai 2013 ; ATA/633/2011 du 11 octobre 2011 ; ATA/152/2011 du 8 mars 2011).</w:t>
      </w:r>
    </w:p>
    <w:p>
      <w:r>
        <w:t>Toutes les considérations émises ci-dessus pour les taxations IFD 2003 et 2004 sont donc également valables pour l’ICC sur le bénéfice. La recourante ne pouvait pas porter en déduction de son bénéfice net ses pertes de conversion de CHF 13'603'000.-, respectivement de CHF 12'386'000.- qui, du point de vue fiscal, doivent s’appréhender en tant que composante distincte de ses fonds propres.</w:t>
      </w:r>
    </w:p>
    <w:p>
      <w:r>
        <w:t>Pour le reste, il n’y a pas de contradiction à ce que ces pertes de conversion soient parallèlement déduites du capital imposable au sens des art. 27 ss LIPM. En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w:t>
      </w:r>
    </w:p>
    <w:p>
      <w:r>
        <w:t>- 23/24 - A/3687/2006</w:t>
      </w:r>
    </w:p>
    <w:p>
      <w:r>
        <w:t>Le grief de violation du droit cantonal doit donc être écarté. 18) En tous points mal fondé, le recours sera rejeté. Vu l’issue du litige, un émolument de CHF 3'000.- sera mis à la charge de la recourante, qui succombe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