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ATA/470/2013 vom 30. Juli 2013</w:t>
      </w:r>
    </w:p>
    <w:p>
      <w:r>
        <w:t>GE Cour de justice, 2013-07-30, FR</w:t>
      </w:r>
    </w:p>
    <w:p>
      <w:r>
        <w:rPr>
          <w:b/>
        </w:rPr>
        <w:t xml:space="preserve">Quelle: </w:t>
      </w:r>
      <w:r>
        <w:t>https://mcp.opencaselaw.ch/entscheid/ge_gerichte_ATA_470_2013</w:t>
      </w:r>
    </w:p>
    <w:p>
      <w:r>
        <w:t>FR: GE_GERICHTE ATA/470/2013 du 30 juillet 2013</w:t>
      </w:r>
    </w:p>
    <w:p>
      <w:r>
        <w:t>IT: GE_GERICHTE ATA/470/2013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1er mars 2012 et a refusé d’entrer en matière alors que dans des causes précédentes semblables, portées devant la chambre de céans et jugées (ATA/730/2012, ATA/731/2012, ATA/732/2012, ATA/733/2012, ATA/734/2012, ATA/735/2012, ATA/736/2012, ATA/737/2012, ATA/738/2012 et ATA/739/2012 du 30 octobre 2012), il avait rendu des décisions de refus de rembourser ou de délivrer le permis de service public sollicité.</w:t>
      </w:r>
    </w:p>
    <w:p>
      <w:r>
        <w:t>Si le Scom a essayé de cette manière de rendre une décision non sujette à recours, force est de constater qu'il a erré puisqu'en statuant sur reconsidération, l'autorité rend une décision au sens de l'art. 4 al. 1 LPA.</w:t>
      </w:r>
    </w:p>
    <w:p>
      <w:r>
        <w:t>- 5/9 - A/3278/2012</w:t>
      </w:r>
    </w:p>
    <w:p>
      <w:r>
        <w:t>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délivrer le permis de service public sollicité.</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cependant été en mesure de se rendre compte de l’erreur et de saisir l’autorité compétente dans le délai imparti. Il n’en est donc résulté aucun préjudice (art. 47 LPA).</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- 6/9 - A/3278/2012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tire de l'Arrêt du Tribunal fédéral 2C_609/2010 précité que le montant de la taxe unique qui lui avait été annoncé en décembre 2008, soit CHF 60'000.-, aurait été dépourvu de base légale, de sorte qu'ayant dû refuser un permis de service public parce qu'il ne pouvait s'en acquitter, il aurait droit à la délivrance immédiate d'une autorisation d'exploiter un taxi de service public en qualité d'indépendant pour une taxe unique de CHF 40'000.-.</w:t>
      </w:r>
    </w:p>
    <w:p>
      <w:r>
        <w:t>- 7/9 - A/3278/2012</w:t>
      </w:r>
    </w:p>
    <w:p>
      <w:r>
        <w:t>Tel n'est pas le cas. Le Conseil d'Etat a pris l'arrêté du 19 mai 2010 après que l'autorité compétente a estimé que le nombre de permis de service public adéquat était considéré comme atteint et restant stable. Cette appréciation est une condition préalable et nécessaire à l'édiction de l'arrêté annulé. Elle n'a pas été remise en cause. Elle a eu comme conséquence de mettre fin le 18 mai 2012 à minuit, au régime transitoire instauré par l'art. 58 al. 5 LTaxis, fixant à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Ceux-ci ne sont pas pertinents pour la solution du litige. En outre, le recourant est conseillé par un avocat genevois qui ne peut ignorer la jurisprudence de la chambre de céans et de son prédécesseur. Elle est systématiquement mise en ligne dès son adoption et, par conséquent, aisément accessible. Il est ainsi mal venu de reprocher au Scom d'avoir tu l'existence de ces arrêtés.</w:t>
      </w:r>
    </w:p>
    <w:p>
      <w:r>
        <w:t>Ainsi, le recourant s'est vu proposer une autorisation d'exploiter un taxi de service public en qualité d'indépendant le 19 décembre 2008 et il n'y a pas donné suite, ce que le Scom a constaté le 18 février 2009. C'était alors le régime transitoire précité qui s'appliquait. La taxe unique réclamée au recourant à ce moment-là figurait dans la loi. Elle n'était donc pas dépourvue de base légale formelle. Il s'agit ainsi d'une situation différente de celle tranchée dans l'Arrêt du Tribunal fédéral 2C_609/2010 susmentionné, sur lequel le recourant ne peut donc s'appuyer. Son argumentation ne peut qu'être écartée (ATA/739/2012 déjà cité).</w:t>
      </w:r>
    </w:p>
    <w:p>
      <w:r>
        <w:rPr>
          <w:b/>
        </w:rPr>
        <w:t>E. 7</w:t>
      </w:r>
    </w:p>
    <w:p>
      <w:r>
        <w:t>Au vu de ce qui précède, le recours sera rejeté.</w:t>
      </w:r>
    </w:p>
    <w:p>
      <w:r>
        <w:t>Un émolument de CHF 500.- sera mis à la charge du recourant et aucune indemnité de procédure ne lui sera allouée (art. 87 LPA).</w:t>
      </w:r>
    </w:p>
    <w:p>
      <w:r>
        <w:t>* * * * *</w:t>
      </w:r>
    </w:p>
    <w:p>
      <w:r>
        <w:t>- 8/9 - A/3278/2012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