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ATA/470/2011 vom 26. Juli 2011</w:t>
      </w:r>
    </w:p>
    <w:p>
      <w:r>
        <w:t>GE Cour de justice, 2011-07-26, FR</w:t>
      </w:r>
    </w:p>
    <w:p>
      <w:r>
        <w:rPr>
          <w:b/>
        </w:rPr>
        <w:t xml:space="preserve">Quelle: </w:t>
      </w:r>
      <w:r>
        <w:t>https://mcp.opencaselaw.ch/entscheid/ge_gerichte_ATA_470_2011</w:t>
      </w:r>
    </w:p>
    <w:p>
      <w:r>
        <w:t>FR: GE_GERICHTE ATA/470/2011 du 26 juillet 2011</w:t>
      </w:r>
    </w:p>
    <w:p>
      <w:r>
        <w:t>IT: GE_GERICHTE ATA/470/2011 del 26 luglio 2011</w:t>
      </w:r>
    </w:p>
    <w:p>
      <w:pPr>
        <w:pStyle w:val="Heading2"/>
      </w:pPr>
      <w:r>
        <w:t>Erwägungen</w:t>
      </w:r>
    </w:p>
    <w:p>
      <w:r>
        <w:rPr>
          <w:b/>
        </w:rPr>
        <w:t>E. 4</w:t>
      </w:r>
    </w:p>
    <w:p>
      <w:r>
        <w:t>Dans leur dernier courrier, les contribuables ont sollicité leur audition. Tel qu’il est garanti par l’art. 29 al. 2 de la Constitution fédérale de la Confédération suisse du 18 avril 1999 (Cst. - RS 101), le droit d’être entendu comprend notamment le droit pour l’intéressé d’offrir des preuves pertinentes, de prendre</w:t>
      </w:r>
    </w:p>
    <w:p>
      <w:r>
        <w:t>- 8/11 - A/1272/2008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w:t>
      </w:r>
    </w:p>
    <w:p>
      <w:r>
        <w:rPr>
          <w:b/>
        </w:rPr>
        <w:t>E. 6</w:t>
      </w:r>
    </w:p>
    <w:p>
      <w:r>
        <w:t>A teneur de l’art. 60 al. 1 let. b LPA, a qualité pour recourir « toute personne qui est touchée directement par une décision et a un intérêt personnel digne de protection à ce qu’elle soit annulée ou modifiée ».</w:t>
      </w:r>
    </w:p>
    <w:p>
      <w:r>
        <w:t>- 9/11 - A/1272/2008</w:t>
      </w:r>
    </w:p>
    <w:p>
      <w:r>
        <w:t>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w:t>
      </w:r>
    </w:p>
    <w:p>
      <w:r>
        <w:rPr>
          <w:b/>
        </w:rPr>
        <w:t>E. 11</w:t>
      </w:r>
    </w:p>
    <w:p>
      <w:r>
        <w:t>juin 2007 consid. 2.3 ; ATA/192/2009 du 21 avril 2009 ; ATA/195/2007 du 24 avril 2007 ; ATA/640/2005 du 27 septembre 2005).</w:t>
      </w:r>
    </w:p>
    <w:p>
      <w:r>
        <w:t>La cause ayant été renvoyée à l’AFC pour qu’elle établisse de nouvelles taxations tenant compte des exigences relatives à la jurisprudence précitée, les contribuables n’ont plus d’intérêt actuel au recours quant à leur assujettissement à l’impôt à la source. En effet, au vu des déclarations qu’ils avaient remplies pour les années fiscales 2005 et 2006 en matière d’impôt cantonal et communal (ci- après : ICC), les recourants n’avaient pas d’autres revenus que ceux provenant de leur activité dépendante à Genève, ni d’autre fortune que leur résidence secondaire en France. Ils devront dès lors être considérés vraisemblablement comme des quasi-résidents et l’AFC devra prendre en compte les déductions usuelles qu’ils réclament depuis le début de la procédure.</w:t>
      </w:r>
    </w:p>
    <w:p>
      <w:r>
        <w:t>Les recourants conservent toutefois un intérêt actuel s’agissant du paiement de la pension alimentaire destinée aux enfants du recourant, selon leurs allégués. Le TAPI aurait dû, pour cette question également, renvoyer la cause à l’AFC. 7.</w:t>
      </w:r>
    </w:p>
    <w:p>
      <w:r>
        <w:t>En conséquence, le recours sera déclaré irrecevable dans la mesure où il tend à contester l’assujettissement des contribuables à l’impôt à la source pour les années 2005 et 2006. Il sera admis en tant qu’il est recevable, la cause devant être renvoyée à l’AFC pour que celle-ci instruise les questions relatives à toutes les déductions envisageables, y compris celles pour le paiement de pensions alimentaires en faveur des enfants du contribuable, et qu’elle établisse de nouveaux bordereaux de taxation pour l’impôt à la source 2005 et 2006. 8.</w:t>
      </w:r>
    </w:p>
    <w:p>
      <w:r>
        <w:t>Vu l’issue du litige, un émolument de CHF 1'000.- sera mis à la charge des contribuables pris conjointement et solidairement. Aucune indemnité de procédure ne leur sera allouée (art. 87 LPA).</w:t>
      </w:r>
    </w:p>
    <w:p>
      <w:r>
        <w:t>- 10/11 - A/1272/2008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