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ATA/470/2006 vom 31. August 2006</w:t>
      </w:r>
    </w:p>
    <w:p>
      <w:r>
        <w:t>GE Cour de justice, 2006-08-31, FR</w:t>
      </w:r>
    </w:p>
    <w:p>
      <w:r>
        <w:rPr>
          <w:b/>
        </w:rPr>
        <w:t xml:space="preserve">Quelle: </w:t>
      </w:r>
      <w:r>
        <w:t>https://mcp.opencaselaw.ch/entscheid/ge_gerichte_ATA_470_2006</w:t>
      </w:r>
    </w:p>
    <w:p>
      <w:r>
        <w:t>FR: GE_GERICHTE ATA/470/2006 du 31 août 2006</w:t>
      </w:r>
    </w:p>
    <w:p>
      <w:r>
        <w:t>IT: GE_GERICHTE ATA/470/2006 del 31 agosto 2006</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Le conducteur d'un véhicule ne saurait se voir infliger une mesure administrative pour violation des règles de la circulation que s'il est établi à satis- faction de droit qu'il est bien l'auteur de cette infraction. L'autorité ne peut prendre ou confirmer une telle mesure sur recours que si elle a acquis la conviction que l'intéressé a enfreint en personne les règles de la circulation.</w:t>
      </w:r>
    </w:p>
    <w:p>
      <w:r>
        <w:t>b. Lorsqu'une infraction a été dûment constatée sans que son auteur puisse être identifié, l'autorité ne saurait se borner à présumer que le véhicule était piloté par son détenteur.</w:t>
      </w:r>
    </w:p>
    <w:p>
      <w:r>
        <w:t>- 4/7 - A/1610/2006</w:t>
      </w:r>
    </w:p>
    <w:p>
      <w:r>
        <w:t>c. Lorsque l'auteur d'une infraction ne peut être identifié sur-le-champ, l'autorité peut, dans un premier temps, partir du point de vue que le conducteur fautif et le détenteur forment une seule et même personne. En cas de contestation, l'autorité compétente devra offrir au détenteur du véhicule la possibilité d'être entendu avant de prononcer ou de confirmer une éventuelle mesure administra- tive. L'intéressé est alors tenu de produire toutes explications utiles dans la mesure où l'on peut raisonnablement les attendre de sa part. L'autorité devra de plus prendre, le cas échéant, de sa propre initiative, toute mesure d'instruction propre à élucider cette question, en vertu de la maxime d'office qui régit la procédure admi- nistrative.</w:t>
      </w:r>
    </w:p>
    <w:p>
      <w:r>
        <w:t>d. Si l'intéressé se soustrait sans motif valable à ce devoir de collaboration ou si sa version des faits semble dénuée de vraisemblance, l'autorité devra apprécier, sur la base de l'ensemble des circonstances, si l'on peut considérer comme suffisamment établi qu'il est l'auteur de l'infraction incriminée (ATF 97 I 479; JdT 1971 399). Si, en revanche, la version des faits du détenteur ne paraît pas absolument invraisemblable et qu'il n'est pas possible, par ailleurs, d'apporter la preuve qu'il conduisait son véhicule au moment critique, l'autorité devra renoncer à toute mesure contre lui. C'est à elle, en effet, qu'incombe le fardeau de la preuve, s'agissant de mesures restreignant la liberté et c'est donc elle qui doit supporter les conséquences d'un éventuel échec de la preuve (ATF 105 Ib 114, SJ 1992 p. 525 ch. 107 ; RDAF 1979, p. 206 ; ATA M. du 30 mai 1990 ; G. du 19 août 1988 ; R. du 20 avril 1988 ; M. du 23 septembre 1987 ; H. du 26 août 1987 ; ATF C. du 15 mars 1994 ; ATF M. du 6 mars 1981).</w:t>
      </w:r>
    </w:p>
    <w:p>
      <w:r>
        <w:t>En l’espèce, force est de constater que M. B______ n'a pas rendu vraisem- blable le fait qu'il ne pouvait en aucun cas être au volant du véhicule en question le jour des faits. En effet, il a commencé par admettre implicitement être l’auteur de l’infraction en payant la contravention qui lui avait été adressée à raison de ces faits, puis, sur le plan administratif, en sollicitant du SAN la possibilité d’exécuter une éventuelle mesure de retrait en décembre, période pendant laquelle ses affaires subissaient un ralentissement. Ce n’est que dans son recours qu’il a exposé avoir agi ainsi en pensant que seul un avertissement lui serait adressé. Il sera aussi relevé que lors de l'audience de comparution personnelle des parties, le 19 juin 2006, il n’a pas pu indiquer son emploi du temps le jour des faits, au motif que les données de son agenda électronique, qui auraient pu le disculper, n’avaient pas été gardées en mémoire. Il sera en outre relevé au passage que le conseil du recourant n’a pas non plus jugé utile de verser à la procédure une attestation écrite des personnes susceptibles d’avoir conduit le véhicule en question le jour des faits, alors qu’il ne s’agissait pas là d’une tâche insurmontable, les employés de M. B______ n’étant guère qu’une petite trentaine.</w:t>
      </w:r>
    </w:p>
    <w:p>
      <w:r>
        <w:t>En conséquence, le tribunal considérera comme avéré que M. B______ est bel et bien l'auteur de l'infraction qui lui est reprochée.</w:t>
      </w:r>
    </w:p>
    <w:p>
      <w:r>
        <w:t>- 5/7 - A/1610/2006</w:t>
      </w:r>
    </w:p>
    <w:p>
      <w:r>
        <w:rPr>
          <w:b/>
        </w:rPr>
        <w:t>E. 3</w:t>
      </w:r>
    </w:p>
    <w:p>
      <w:r>
        <w:t>Chacun doit respecter les signaux et les marques et, en particulier, les signaux fixant une vitesse maximale (art. 27 al. 1 LCR; 16 et 22 de l'ordonnance sur la signalisation routière du 5 septembre 1979 – OSR, RS 741.21, ATF 108 IV 62).</w:t>
      </w:r>
    </w:p>
    <w:p>
      <w:r>
        <w:rPr>
          <w:b/>
        </w:rPr>
        <w:t>E. 4</w:t>
      </w:r>
    </w:p>
    <w:p>
      <w:r>
        <w:t>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JdT 1995 I 664).</w:t>
      </w:r>
    </w:p>
    <w:p>
      <w:r>
        <w:t>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JdT 1997 I 733, consid. 1e, p. 737), sous réserve de circonstances particulières (ATF 123 II 106, JdT 1997 I 725, consid. 2b, pp. 728-729 et réf. cit.).</w:t>
      </w:r>
    </w:p>
    <w:p>
      <w:r>
        <w:t>Un dépassement de 21 à 24 km/h constitue, quant à lui, une infraction moyennement grave impliquant en règle générale un retrait de permis au sens de l'article 16b LCR.</w:t>
      </w:r>
    </w:p>
    <w:p>
      <w:r>
        <w:t>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 ATF 123 II 106, JdT 1997 I 725, consid. 2c, p. 731 et réf. cit. ; ATF 123 II 37, consid. 1d, pp. 40-41, SJ 1997 pp. 527-528 ; ATA/382/1998 du 16 juin 1998).</w:t>
      </w:r>
    </w:p>
    <w:p>
      <w:r>
        <w:t>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SJ 1993 p. 535 ; ATF 118 IV 190 ; 108 Ib 67; 104 Ib 51).</w:t>
      </w:r>
    </w:p>
    <w:p>
      <w:r>
        <w:t>En l'espèce, le dépassement de la vitesse autorisée, au demeurant non contesté, est de 25 km/h, après déduction de la marge de sécurité. Même si l’excès de vitesse se situe à l’extrême limite inférieure des cas graves, il s’agit néanmoins d’une infraction de cette catégorie, saisie par l’article 16c alinéa 1 lettre a LCR.</w:t>
      </w:r>
    </w:p>
    <w:p>
      <w:r>
        <w:t>La durée minimale du retrait de permis étant de trois mois après la commission d’une faute grave et la décision du SAN s’en tenant à ce minimum, elle sera confirmée.</w:t>
      </w:r>
    </w:p>
    <w:p>
      <w:r>
        <w:t>- 6/7 - A/1610/2006</w:t>
      </w:r>
    </w:p>
    <w:p>
      <w:r>
        <w:rPr>
          <w:b/>
        </w:rPr>
        <w:t>E. 5</w:t>
      </w:r>
    </w:p>
    <w:p>
      <w:r>
        <w:t>En tous points mal fondé, le recours sera rejeté.</w:t>
      </w:r>
    </w:p>
    <w:p>
      <w:r>
        <w:t>Vu l’issue du litige, un émolument de CHF 400.-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