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ATA/469/2014 vom 24. Juni 2014</w:t>
      </w:r>
    </w:p>
    <w:p>
      <w:r>
        <w:t>GE Cour de justice, 2014-06-24, FR</w:t>
      </w:r>
    </w:p>
    <w:p>
      <w:r>
        <w:rPr>
          <w:b/>
        </w:rPr>
        <w:t xml:space="preserve">Quelle: </w:t>
      </w:r>
      <w:r>
        <w:t>https://mcp.opencaselaw.ch/entscheid/ge_gerichte_ATA_469_2014</w:t>
      </w:r>
    </w:p>
    <w:p>
      <w:r>
        <w:t>FR: GE_GERICHTE ATA/469/2014 du 24 juin 2014</w:t>
      </w:r>
    </w:p>
    <w:p>
      <w:r>
        <w:t>IT: GE_GERICHTE ATA/469/2014 del 24 giugno 2014</w:t>
      </w:r>
    </w:p>
    <w:p>
      <w:pPr>
        <w:pStyle w:val="Heading2"/>
      </w:pPr>
      <w:r>
        <w:t>Erwägungen</w:t>
      </w:r>
    </w:p>
    <w:p>
      <w:r>
        <w:rPr>
          <w:b/>
        </w:rPr>
        <w:t>E. 1</w:t>
      </w:r>
    </w:p>
    <w:p>
      <w:r>
        <w:t>Interjeté en temps utile devant la juridiction compétente, le recours est recevable (art. 132 de la loi sur l'organisation judiciaire du 26 septembre 2010 - LOJ ; art. 56 al. 1 du règlement cantonal sur la passation des marchés publics du 17 décembre 2007 - RMP - L 6 05.01).</w:t>
      </w:r>
    </w:p>
    <w:p>
      <w:r>
        <w:rPr>
          <w:b/>
        </w:rPr>
        <w:t>E. 2</w:t>
      </w:r>
    </w:p>
    <w:p>
      <w:r>
        <w:t>La chambre administrative de la Cour de justice (ci-après :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La décision attaquée se fonde sur l’art. 42 al. 1 let. a RMP. L’autorité intimée retient à cet égard qu’en remplissant le champ « Proposition de l’entreprise » des rubriques 202 et 702 de l’appel d’offres avec des solutions ne respectant pas les termes techniques décrits pour l’offre de base, la recourante aurait formulé une offre non conforme au cahier des charges, ce qui justifierait son exclusion de la procédure.</w:t>
      </w:r>
    </w:p>
    <w:p>
      <w:r>
        <w:t>a. Le respect de l’égalité de traitement entre soumissionnaires (art. 1 al. 2 let. b et 11 let. a l’Accord intercantonal sur les marchés publics du 25 novembre 1994 (AIMP - L 6 05) ; art. 16 RMP) oblige l’autorité adjudicatrice à traiter de manière égale les soumissionnaires pendant tout le déroulement formel de la procédure</w:t>
      </w:r>
    </w:p>
    <w:p>
      <w:r>
        <w:t>- 6/9 - A/2061/2012 (ATA/884/2004 du 26 octobre 2004 ; Jean-Baptiste ZUFFEREY / Corinne MAILLARD / Nicolas MICHEL, Droit des marchés publics, 2002, p. 109 ; Benoît BOVAY, La non discrimination en droit des marchés publics in RDAF 2004, p. 241). La chambre de céans a déjà eu l’occasion de rappeler le caractère formaliste du droit des marchés publics qu’impose le respect de ce principe (ATA/150/2009 du 14 mars 2009 ; ATA/10/2009 du 13 janvier 2009).</w:t>
      </w:r>
    </w:p>
    <w:p>
      <w:r>
        <w:t>b. Selon l’art. 42 al. 1 let. a RMP, l’offre est écartée d’office lorsque le soumissionnaire a rendu une offre tardive, incomplète ou non conforme aux exigences ou au cahier des charges. Les offres écartées ne sont pas évaluées ; l'autorité adjudicatrice rend une décision d'exclusion motivée, notifiée par courrier à l'intéressé, avec mention des voies de recours (al. 3). Lorsque le soumissionnaire présente une autre solution technique que celle décrite dans le cahier des charges, il doit être écarté du marché. Peu importe à cet égard que cette proposition aurait peut-être pu arriver à un résultat plus économique : elle ne respecte pas le cahier des charges imposé (ATA/123/2011 du 1er mars 2011 consid. 7b).</w:t>
      </w:r>
    </w:p>
    <w:p>
      <w:r>
        <w:t>En l’espèce, la question litigieuse n’est pas tant de savoir si les solutions techniques proposées par le recourant sous le champ « Proposition de l’entreprise » du cahier des charges étaient adéquates ou conformes, mais bien plutôt de déterminer si, en procédant de la sorte, il a modifié les termes de l’offre de base au point de s’écarter des termes imposés du cahier des charges – ce qui relèverait de l’art. 42 RMP –, ou au contraire, ainsi qu’il le prétend, il a simplement formulé une variante non chiffrée, laquelle venait s’ajouter au chiffrage de son offre de base.</w:t>
      </w:r>
    </w:p>
    <w:p>
      <w:r>
        <w:t>Il est acquis aux débats que le cahier des charges prévoyait que, s’agissant des variantes, celles-ci étaient admises, mais non obligatoires, sur les produits, matériaux et/ou fournitures décrits dans le cahier des charges. Le soumissionnaire pouvait ainsi émettre des « propositions » (ch. 3.16 des conditions de participation). L’examen du cahier des charges dans sa globalité, ainsi que de sa présentation graphique, enseigne à cet égard que le champ « Proposition de l’entreprise » a été précisément prévu dans ce but. Comme le relève pertinemment le recourant dans ses écritures, la solution inverse impliquerait que ce champ soit systématiquement rempli. Or, tel n’est de loin pas le cas ; en pareille hypothèse, l’offre soumise par le recourant aurait dû être considérée comme incomplète à maints égards. En choisissant de remplir le champ « Proposition de l’entreprise » sous les ch. 202 et 702, le recourant a en réalité formulé une variante au sens du ch. 3.16 des conditions de participation. Le contraire n’est pas soutenable au regard du principe de la confiance. L’autorité intimée n’a d’ailleurs pas produit, par exemple, les offres soumises par les autres soumissionnaires, pour démontrer que son interprétation était correcte, ou à tout le moins soutenable au regard des règles de la bonne foi, et la motivation découlant de ses écritures devant la chambre de céans n’est pas convaincante.</w:t>
      </w:r>
    </w:p>
    <w:p>
      <w:r>
        <w:t>- 7/9 - A/2061/2012</w:t>
      </w:r>
    </w:p>
    <w:p>
      <w:r>
        <w:t>C’est par ailleurs en vain que le département fait valoir que la différence de prix importante constatée sur les prestations en rapport avec la toiture végétalisée (réponse, p. 4) serait la démonstration de la pertinence de son interprétation. En effet, en pareil cas, la décision attaquée n’en serait pas moins illicite, dès lors que les art. 39 à 41 RMP (cf. sur les exigences découlant de ces dispositions : ATA/633/2008 du 16 décembre 2008 consid. 4) lui auraient alors imposé de rechercher les raisons de cette différence auprès du soumissionnaire, ce qu’elle n’a pas fait.</w:t>
      </w:r>
    </w:p>
    <w:p>
      <w:r>
        <w:t>L’autorité intimée a partant abusé de son pouvoir d’appréciation en excluant l’offre du recourant. Le recours doit être admis.</w:t>
      </w:r>
    </w:p>
    <w:p>
      <w:r>
        <w:rPr>
          <w:b/>
        </w:rPr>
        <w:t>E. 4</w:t>
      </w:r>
    </w:p>
    <w:p>
      <w:r>
        <w:t>Le caractère illicite de la décision attaquée étant acquis, il convient d’examiner les prétentions en indemnisation du recourant.</w:t>
      </w:r>
    </w:p>
    <w:p>
      <w:r>
        <w:t>Selon la jurisprudence de la chambre de céans, le dommage que peut donc réclamer ce dernier en se fondant sur l’art. 3 al. 3 de la loi autorisant le Conseil d’Etat à adhérer à l’accord intercantonal sur les marchés publics du 12 juin 1997 (L-AIMP-L 6 05.0) est limité à la réparation des impenses engagées dans la procédure de soumission, inclut le remboursement de ses frais d’avocat, à défaut de la réparation du gain manqué, voire d’autres indemnités susceptibles d’être réclamées en raison de la conclusion anticipée du contrat (ATA/123/2011 précité consid. 8 et les arrêts cités). La mise en demeure intervient le jour où le lésé demande le paiement de son dommage, soit le jour où le recourant formule ses prétentions pour la première fois (ATA/123/2011 précité consid. 9 ; ATF 101 Ib 252 consid. 4b p. 259)</w:t>
      </w:r>
    </w:p>
    <w:p>
      <w:r>
        <w:t>En l’espèce, le chiffre 3.17 des conditions de participation prévoit que l’élaboration d’une offre ne donne droit à aucune indemnité. Aucun recours n’a été formé contre l’appel d’offres, si bien que cette disposition apparaît prima facie opposable au recourant. Quoi qu’il en soit, l’autorité intimée ayant reconnu une indemnité de CHF 5'000.- au titre de la rédaction de l’offre, il sera fait droit dans cette mesure à la prétention du recourant, qui n’a quoi qu’il en soit établi qu’une seule offre. Quant aux honoraires de défense, nonobstant le caractère peu détaillé des notes d’honoraires produites quant au tarif pratiqué et au temps consacré, une estimation de ces paramètres, comme la prise en compte de la procédure menée ultérieurement, conduit à admettre en équité le montant sollicité à hauteur de CHF 7'450.-.</w:t>
      </w:r>
    </w:p>
    <w:p>
      <w:r>
        <w:t>L’autorité intimée sera ainsi condamnée à verser au recourant la somme de CHF 12'450.- avec intérêts à 5% dès le 21 décembre 2012, date des conclusions prises à ce sujet.</w:t>
      </w:r>
    </w:p>
    <w:p>
      <w:r>
        <w:t>- 8/9 - A/2061/2012</w:t>
      </w:r>
    </w:p>
    <w:p>
      <w:r>
        <w:rPr>
          <w:b/>
        </w:rPr>
        <w:t>E. 5</w:t>
      </w:r>
    </w:p>
    <w:p>
      <w:r>
        <w:t>Vu l’issue du recours, il ne sera perçu aucun émolument (art. 87 al. 1 LPA). Il sera en revanche alloué une indemnité de CHF 2'000.-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