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ATA/469/2005 vom 28. Juni 2005</w:t>
      </w:r>
    </w:p>
    <w:p>
      <w:r>
        <w:t>GE Cour de justice, 2005-06-28, FR</w:t>
      </w:r>
    </w:p>
    <w:p>
      <w:r>
        <w:rPr>
          <w:b/>
        </w:rPr>
        <w:t xml:space="preserve">Quelle: </w:t>
      </w:r>
      <w:r>
        <w:t>https://mcp.opencaselaw.ch/entscheid/ge_gerichte_ATA_469_2005</w:t>
      </w:r>
    </w:p>
    <w:p>
      <w:r>
        <w:t>FR: GE_GERICHTE ATA/469/2005 du 28 juin 2005</w:t>
      </w:r>
    </w:p>
    <w:p>
      <w:r>
        <w:t>IT: GE_GERICHTE ATA/469/2005 del 28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Touchée par la décision attaquée, la société a qualité pour agir (ATA/225/2005 du 19 avril 2005).</w:t>
      </w:r>
    </w:p>
    <w:p>
      <w:r>
        <w:t>De même, touché par la décision attaquée, le recourant a qualité pour agir (ATA/337/2005 du 10 mai 2005 et les références citées).</w:t>
      </w:r>
    </w:p>
    <w:p>
      <w:r>
        <w:t>- 4/7 - A/531/2005</w:t>
      </w:r>
    </w:p>
    <w:p>
      <w:r>
        <w:rPr>
          <w:b/>
        </w:rPr>
        <w:t>E. 3</w:t>
      </w:r>
    </w:p>
    <w:p>
      <w:r>
        <w:t>Le concordat a été modifié par la convention portant révision du concordat, du 3 juillet 2003 (ci-après : la convention). Le Grand Conseil a adopté, le 11 juin 2004, une loi modifiant la loi concernant le concordat du 2 décembre 1999 (Loi sur le concordat - I 2 14.0), entrée en vigueur le 1er septembre 2004. Ce texte autorise le Conseil d’Etat à adhérer à la convention. Il contient une disposition transitoire, selon laquelle les procédures administratives et judiciaires pendantes à l’entrée en vigueur de la convention sont régies par le nouveau droit.</w:t>
      </w:r>
    </w:p>
    <w:p>
      <w:r>
        <w:t>Le présent litige, concerne des faits qui se sont déroulés à compter du 22 août 2004 ; il est donc entièrement régi par les nouvelles dispositions.</w:t>
      </w:r>
    </w:p>
    <w:p>
      <w:r>
        <w:rPr>
          <w:b/>
        </w:rPr>
        <w:t>E. 4</w:t>
      </w:r>
    </w:p>
    <w:p>
      <w:r>
        <w:t>À l'instar de l'ancienne loi cantonale sur la profession d'agent de sécurité privée du 15 mars 1985, le concordat a pour but de fixer les règles communes régissant l'activité des entreprises de sécurité et de leurs agents et d'assurer la validité intercantonale des autorisations accordées par les cantons (art. 2 du concordat ; MGC, 1999, IX, p. 9051).</w:t>
      </w:r>
    </w:p>
    <w:p>
      <w:r>
        <w:rPr>
          <w:b/>
        </w:rPr>
        <w:t>E. 5</w:t>
      </w:r>
    </w:p>
    <w:p>
      <w:r>
        <w:t>L’ancien article 9 alinéa 1er lettre c du concordat prévoyait que l'autorisation d'engager du personnel n'était accordée que si l'agent de sécurité n'avait pas été condamné, dans les dix ans précédant la requête, pour des actes incompatibles avec la sphère d'activité professionnelle envisagée.</w:t>
      </w:r>
    </w:p>
    <w:p>
      <w:r>
        <w:t>Cette disposition qui limitait le libre accès à la profession d'agent de sécurité constituait une restriction à la liberté économique dont la conformité à l'article 36 alinéa 2 de la Constitution fédérale du 18 avril 1999 (RS 101) avait déjà été admise par le tribunal de céans (ATA/695/2001 du 6 novembre 2001).</w:t>
      </w:r>
    </w:p>
    <w:p>
      <w:r>
        <w:t>Dans l'exposé des motifs accompagnant le projet d'adhésion à la première version du concordat, il avait été indiqué que certains actes de violence, l'abus de confiance et le vol comptaient, par exemple, au nombre des infractions jugées incompatibles avec la sphère d'activité professionnelle envisagée (MGC, 1998, VI, p. 5197).</w:t>
      </w:r>
    </w:p>
    <w:p>
      <w:r>
        <w:t>Après la révision du concordat, l’article 9 alinéa 1er lettre c a maintenant une teneur nouvelle, selon laquelle :</w:t>
      </w:r>
    </w:p>
    <w:p>
      <w:r>
        <w:t>« L’autorisation d’engager du personnel n’est accordée que si l’agent de sécurité … offre par ses antécédents, par son caractère et son comportement toute garantie d’honorabilité concernant la sphère d’activité envisagée ».</w:t>
      </w:r>
    </w:p>
    <w:p>
      <w:r>
        <w:t>Selon l’exposé des motifs accompagnant le projet de loi, la nouvelle exigence d’honorabilité, critère figurant déjà dans l’ancienne législation genevoise sur les entreprises de sécurité, devait permettre d’examiner si le comportement de l’intéressé était encore compatible avec l’activité dont l’autorisation était requise, même si le candidat concerné n’avait pas été condamné pénalement (ATA/686/2004 du 31 août 2004 ; ATA/972/2004 du 14 décembre 2004).</w:t>
      </w:r>
    </w:p>
    <w:p>
      <w:r>
        <w:t>- 5/7 - A/531/2005</w:t>
      </w:r>
    </w:p>
    <w:p>
      <w:r>
        <w:rPr>
          <w:b/>
        </w:rPr>
        <w:t>E. 6</w:t>
      </w:r>
    </w:p>
    <w:p>
      <w:r>
        <w:t>La notion d'actes incompatibles avec la sphère d'activité envisagée ou d'honorabilité fait régulièrement l'objet d'arrêts du tribunal de céans, récemment rappelée presque exhaustivement (ATA/894/2004 du 16 novembre 2004 confirmé par arrêt du Tribunal fédéral 2P.26/2005 du 29 avril 2005). En substance, le Tribunal administratif tient compte, à cet égard, de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w:t>
      </w:r>
    </w:p>
    <w:p>
      <w:r>
        <w:rPr>
          <w:b/>
        </w:rPr>
        <w:t>E. 7</w:t>
      </w:r>
    </w:p>
    <w:p>
      <w:r>
        <w:t>En l’espèce, le Tribunal administratif retiendra à la charge de M. W________ le fait qu’il a fait l’objet de deux plaintes pénales, pour des faits de même nature, en l’espace de deux ans. Suite à la première plainte pénale, et nonobstant le retrait de celle-ci, le département a averti M. W________ qu’en cas de faits nouveaux, il n’hésiterait pas à prononcer le retrait de l’autorisation d’engagement dont il bénéficiait. Or, la seconde plainte pénale a trait à des faits similaires qui s’inscrivent de surcroît dans un cadre professionnel. En cela, ils tombent sous le coup de l’article 328 alinéa 1 de la loi fédérale complétant le code civil suisse du 30 mars 1911 (Livre cinquième : Droit des obligations - CO - RS 220). Le recourant a admis les faits qui lui étaient reprochés et, dans ce contexte, le retrait de la plainte pénale ne lie pas l’autorité administrative. Les faits qui sont reprochés à M. W________ démontrent que celui-ci a peu de maîtrise de lui- même. Or, on est en droit d’attendre d’un agent de sécurité une conduite irréprochable (ATA/191/2005 du 5 avril 2005).</w:t>
      </w:r>
    </w:p>
    <w:p>
      <w:r>
        <w:t>Le refus de renouveler l’autorisation sollicitée sera donc confirmé par le Tribunal administratif.</w:t>
      </w:r>
    </w:p>
    <w:p>
      <w:r>
        <w:rPr>
          <w:b/>
        </w:rPr>
        <w:t>E. 8</w:t>
      </w:r>
    </w:p>
    <w:p>
      <w:r>
        <w:t>La décision entreprise, qui repose sur une base légale suffisante selon la jurisprudence constante du tribunal de céans (cf. not. ATA/191/2005 du 5 avril 2005 et les références citées), satisfait en outre pleinement au principe de la proportionnalité, seule l'interdiction d'exercer la profession d'agent de sécurité étant de nature à atteindre le but visé, soit celui d'écarter les personnes qui ne respectent pas la condition d’honorabilité.</w:t>
      </w:r>
    </w:p>
    <w:p>
      <w:r>
        <w:t>Enfin, l’atteinte à la liberté économique de l’intéressé, qui reste libre d’exercer toute autre profession qui ne serait pas soumise à une autorisation du même type, est acceptable eu égard au but poursuivi par la législation pertinente.</w:t>
      </w:r>
    </w:p>
    <w:p>
      <w:r>
        <w:rPr>
          <w:b/>
        </w:rPr>
        <w:t>E. 9</w:t>
      </w:r>
    </w:p>
    <w:p>
      <w:r>
        <w:t>Le recours est mal fondé et doit être rejeté.</w:t>
      </w:r>
    </w:p>
    <w:p>
      <w:r>
        <w:t>- 6/7 - A/531/2005</w:t>
      </w:r>
    </w:p>
    <w:p>
      <w:r>
        <w:t>Un émolument de CHF 750.-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