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ATA/468/2011 vom 26. Juli 2011</w:t>
      </w:r>
    </w:p>
    <w:p>
      <w:r>
        <w:t>GE Cour de justice, 2011-07-26, FR</w:t>
      </w:r>
    </w:p>
    <w:p>
      <w:r>
        <w:rPr>
          <w:b/>
        </w:rPr>
        <w:t xml:space="preserve">Quelle: </w:t>
      </w:r>
      <w:r>
        <w:t>https://mcp.opencaselaw.ch/entscheid/ge_gerichte_ATA_468_2011</w:t>
      </w:r>
    </w:p>
    <w:p>
      <w:r>
        <w:t>FR: GE_GERICHTE ATA/468/2011 du 26 juillet 2011</w:t>
      </w:r>
    </w:p>
    <w:p>
      <w:r>
        <w:t>IT: GE_GERICHTE ATA/468/2011 del 26 luglio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Selon l'art. 52 LDIP, le régime matrimonial est régi par le droit choisi par les époux. Les époux peuvent choisir le droit de l'Etat dans lequel ils sont tous deux domiciliés ou seront domiciliés après la célébration du mariage, ou le droit d'un Etat dont l'un d'eux a la nationalité.</w:t>
      </w:r>
    </w:p>
    <w:p>
      <w:r>
        <w:rPr>
          <w:b/>
        </w:rPr>
        <w:t>E. 4</w:t>
      </w:r>
    </w:p>
    <w:p>
      <w:r>
        <w:t>L'élection de droit doit faire l'objet d'une convention écrite ou ressortir des dispositions du contrat de mariage (art. 53 al. 1 LDIP).</w:t>
      </w:r>
    </w:p>
    <w:p>
      <w:r>
        <w:t>- 6/8 - A/5178/2007</w:t>
      </w:r>
    </w:p>
    <w:p>
      <w:r>
        <w:rPr>
          <w:b/>
        </w:rPr>
        <w:t>E. 5</w:t>
      </w:r>
    </w:p>
    <w:p>
      <w:r>
        <w:t>A défaut d'élection de droit, le régime matrimonial est régi « par le droit de l'Etat dans lequel les deux époux sont domiciliés en même temps » (art. 54 al. 1 let. a LDIP).</w:t>
      </w:r>
    </w:p>
    <w:p>
      <w:r>
        <w:rPr>
          <w:b/>
        </w:rPr>
        <w:t>E. 6</w:t>
      </w:r>
    </w:p>
    <w:p>
      <w:r>
        <w:t>A teneur de l'art. 55 LDIP, intitulé « Mutabilité et rétroactivité lors de changement de domicile », « en cas de transfert du domicile des époux d'un Etat dans un autre, le droit du nouveau domicile est applicable et rétroagit au jour du mariage. Les époux peuvent convenir par écrit d'exclure la rétroactivité (al. l).</w:t>
      </w:r>
    </w:p>
    <w:p>
      <w:r>
        <w:t>Le changement de domicile n'a pas d'effet sur le droit applicable lorsque les époux sont convenus par écrit de maintenir le droit antérieur ou lorsqu'ils sont liés par un contrat de mariage » (al. 2).</w:t>
      </w:r>
    </w:p>
    <w:p>
      <w:r>
        <w:rPr>
          <w:b/>
        </w:rPr>
        <w:t>E. 7</w:t>
      </w:r>
    </w:p>
    <w:p>
      <w:r>
        <w:t>Enfin, l'art. 56 LDIP prévoit que « le contrat de mariage est valable quant à la forme s'il satisfait aux conditions du droit applicable au fond ou du droit du lieu où l'acte a été passé ».</w:t>
      </w:r>
    </w:p>
    <w:p>
      <w:r>
        <w:rPr>
          <w:b/>
        </w:rPr>
        <w:t>E. 8</w:t>
      </w:r>
    </w:p>
    <w:p>
      <w:r>
        <w:t>En l'espèce, les époux M______ n’ont pas signé de contrat de mariage, ce qui n'est pas contesté.</w:t>
      </w:r>
    </w:p>
    <w:p>
      <w:r>
        <w:t>Le certificat de mariage, produit par la recourante, dûment traduit, établi le</w:t>
      </w:r>
    </w:p>
    <w:p>
      <w:r>
        <w:rPr>
          <w:b/>
        </w:rPr>
        <w:t>E. 11</w:t>
      </w:r>
    </w:p>
    <w:p>
      <w:r>
        <w:t>En conséquence, le recours sera rejeté. La décision de la commission du 1er février 2010 sera confirmée.</w:t>
      </w:r>
    </w:p>
    <w:p>
      <w:r>
        <w:t>Vu l’issue du litige, un émolument de CHF 1'500.- sera mis à la charge de la recourante, à laquelle il ne sera pas alloué d'indemnité de procédure (art. 87 LPA).</w:t>
      </w:r>
    </w:p>
    <w:p>
      <w:r>
        <w:t>- 7/8 - A/5178/2007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