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ATA/467/2023 vom 2. Mai 2023</w:t>
      </w:r>
    </w:p>
    <w:p>
      <w:r>
        <w:t>GE Cour de justice, 2023-05-02, FR</w:t>
      </w:r>
    </w:p>
    <w:p>
      <w:r>
        <w:rPr>
          <w:b/>
        </w:rPr>
        <w:t xml:space="preserve">Quelle: </w:t>
      </w:r>
      <w:r>
        <w:t>https://mcp.opencaselaw.ch/entscheid/ge_gerichte_ATA_467_2023</w:t>
      </w:r>
    </w:p>
    <w:p>
      <w:r>
        <w:t>FR: GE_GERICHTE ATA/467/2023 du 2 mai 2023</w:t>
      </w:r>
    </w:p>
    <w:p>
      <w:r>
        <w:t>IT: GE_GERICHTE ATA/467/2023 del 2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À titre préalable, les recourants demandent leur comparution personnelle. 2.1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En outre, le droit d'être entendu ne comprend</w:t>
      </w:r>
    </w:p>
    <w:p>
      <w:r>
        <w:t>- 7/15 - A/3954/2021 pas le droit d'être entendu oralement (ATF 140 I 285 consid. 6.3.1 ; 138 III 374 consid. 4.3.2 ; 134 I 140 consid. 5.3). 2.2 En l’espèce, les recourants ont eu l’occasion de faire valoir leurs arguments par écrit devant l’OCPM, le TAPI puis la chambre de céans et de produire toute pièce utile. Ils n’exposent pas quels éléments, qu’ils n’auraient pu produire par écrit, leur audition orale quant à leurs projets personnels et professionnels pourrait apporter à la solution du litige. La chambre de céans considère qu’elle dispose d’un dossier complet et en état d’être jugé. Il ne sera pas donné suite à la demande d’acte d’instruction. 3. Le litige porte sur le refus de l’OCPM de préaviser favorablement auprès du SEM la délivrance d’une autorisation de séjour en faveur des recourants. 3.1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LEI, les demandes déposées, comme en l’espèce, après le 1er janvier 2019 sont régies par le nouveau droit.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D______. L'art. 30 al. 1 let. b LEI permet de déroger aux conditions d'admission en Suisse, telles que prévues aux art. 18 à 29 LEI, notamment aux fins de tenir compte des cas individuels d'une extrême gravité ou d'intérêts publics majeurs.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w:t>
      </w:r>
    </w:p>
    <w:p>
      <w:r>
        <w:t>- 8/15 - A/3954/2021 2013 - état au 1er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3.2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- 9/15 - A/3954/2021 Aux termes de l'art. 96 al. 1 LEI, les autorités compétentes tiennent compte, en exerçant leur pouvoir d'appréciation, des intérêts publics, de la situation personnelle de l'étranger ainsi que de son intégration.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3.3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Ces conditions devaient être remplies au moment du dépôt de la demande d’autorisation de séjour (ATA/121/2021 du 2 février 2021 consid. 8b).</w:t>
      </w:r>
    </w:p>
    <w:p>
      <w:r>
        <w:t>- 10/15 - A/3954/2021 3.4 Dans l'examen d'un cas de rigueur concernant le renvoi d'une famille, il importe de prendre en considération la situation globale de la famille.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 3.5 En l’espèce, les recourants ont formé leur demande d’autorisation de séjour le 17 juillet 2020, alors que l’« opération Papyrus » avait pris fin, le 31 décembre 2018. Ils ne sauraient donc se prévaloir de celle-ci, ce qu’ils ne font d’ailleurs pas explicitement et leur demande doit être examinée sous l’angle du cas individuel d’extrême gravité. Les recourants font valoir qu’ils ont déjà séjourné en Suisse de 2004 à 2010. Toutefois, comme l’a souligné le TAPI, une autorisation leur avait déjà été refusée en 2010 et ils étaient alors repartis au D______ pour plusieurs années. Leurs deux séjours, discontinus, ne sauraient être additionnés, comme les recourants le demandent (ATA/247/2023 du 14 mars 2023 consid. 5.1). Les recourants ne peuvent ainsi faire valoir qu’un séjour qui atteignait au moment du dépôt de la</w:t>
      </w:r>
    </w:p>
    <w:p>
      <w:r>
        <w:t>- 11/15 - A/3954/2021 demande quatre ans pour Mme A______ et deux ans pour M. B______ et C______, ce qui ne peut être considéré comme un séjour d’une très longue durée. La durée de ce séjour doit en outre être relativisée dès lors qu’il s’est déroulé dans l’illégalité, voire dans la tolérance durant la procédure de demande d’autorisation. Contrairement à ce que soutiennent les recourants, la prise en compte du caractère illicite du séjour pour en relativiser la durée n’a rien d’arbitraire, mais ressort au contraire de la jurisprudence (arrêt du Tribunal fédéral 2A.137/2003 du 7 avril 2003 consid. 2.2 ; ATA/842/2022 du 23 août 2022 ; ATA/279/2021 du 2 mars 2021 ; ATA/1057/2018 du 9 octobre 2018 ; ATA/442/2018 du 8 mai 2018). Les recourants établissent qu’ils maîtrisent le français au degré de compétence exigé. Ils travaillent tous deux, sont autonomes financièrement, n’ont jamais émargé à l’aide sociale, n’ont ni dettes ni poursuites ni actes de défaut de biens et leurs casiers judiciaires sont vierges. Ils ont produit récemment un contrat de bail portant sur un appartement de 4.5 pièces. Il ressort des pièces qu’ils ont déposées que M. B______ travaillait en qualité de déménageur jusqu’à un accident subi le 25 mars 2022 et que Mme A______ travaille en qualité de vendeuse. Ces emplois, qui dénotent certes une volonté de s’intégrer et d’être autonomes, ne témoignent cependant pas d’une réussite professionnelle remarquable, quoi qu’en disent les recourants. Les recourants invoquent leur attachement à la Suisse. Cependant, il est normal que le séjour en Suisse crée des liens professionnels, d’amitié ou de voisinage. Ceux que les recourants mettent en avant ne sont pas exceptionnels. Les recourants ne soutiennent pas exemple pas être investis dans la vie culturelle, associative ou sportive, avec une exception sur ce dernier point pour C______, dont la situation sera examinée plus loin. Les recourants ne font pas valoir que les connaissances professionnelles acquises en Suisse ne pourraient être mises en œuvre ailleurs. Au demeurant, ils ont acquis au D______ des formations de niveau universitaire de psychologue et d’avocat et le recourant expose être inscrit aux barreaux du H______ et de I______ au D______. Il s’ensuit que leur réintégration au D______, de même d’ailleurs qu’au H______, paraît non seulement possible mais encore favorisée au plan professionnel par un niveau de qualification élevé – qu’ils n’ont par ailleurs pu exploiter en Suisse. C______, âgé aujourd’hui de 12 ans, n’est arrivé en Suisse qu’à l’âge de huit ans et a donc passé l’essentiel de son enfance au D______, dont il maîtrise la langue et les codes culturels. Il vit en Suisse depuis quatre ans, où il accomplit avec succès sa scolarité, est intégré à une équipe de rugby et a des camarades de son âge. Il entre à peine dans l’adolescence, période déterminante pour la formation de la personnalité, il termine sa scolarité primaire et la durée de son séjour est trop</w:t>
      </w:r>
    </w:p>
    <w:p>
      <w:r>
        <w:t>- 12/15 - A/3954/2021 courte, comme l’a relevé à juste titre le TAPI, pour que son renvoi au D______ puisse être comparé à un déracinement. Même si sa réintégration dans son pays ne se fera pas sans difficulté, son jeune âge et ses compétences scolaires devraient lui permettre de poursuivre sa scolarité et sa formation au D______ sans difficultés. C’est ainsi à bon droit que l’OCPM puis le TAPI ont conclu que les recourants ne remplissaient pas les conditions à l’octroi d’une autorisation de séjour pour cas individuel d’extrême gravité. 4. Dès lors que l’OCPM a, à juste titre, refusé l’octroi d’une autorisation de séjour aux recourants, il devait prononcer leur renvoi. En l’espèce, aucun motif ne permet de retenir que l’exécution du renvoi ne serait pas possible, licite ou ne pourrait raisonnablement être exigée. Les recourants ne le soutiennent plus devant la chambre de céans, et n’invoquent, à raison, plus les traumatismes qu’ils auraient subis au D______, ni le lien entre ceux-ci et les problèmes de surpoids de Mme A______. Entièrement mal fondé, le recours sera rejeté.</w:t>
      </w:r>
    </w:p>
    <w:p>
      <w:r>
        <w:rPr>
          <w:b/>
        </w:rPr>
        <w:t>E. 5</w:t>
      </w:r>
    </w:p>
    <w:p>
      <w:r>
        <w:t>Vu l’issue du litige, un émolument de CHF 400.- sera mis à la charge solidaire de M. B______ et de Mme A______,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