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ATA/467/2020 vom 12. Mai 2020</w:t>
      </w:r>
    </w:p>
    <w:p>
      <w:r>
        <w:t>GE Cour de justice, 2020-05-12, FR</w:t>
      </w:r>
    </w:p>
    <w:p>
      <w:r>
        <w:rPr>
          <w:b/>
        </w:rPr>
        <w:t xml:space="preserve">Quelle: </w:t>
      </w:r>
      <w:r>
        <w:t>https://mcp.opencaselaw.ch/entscheid/ge_gerichte_ATA_467_2020</w:t>
      </w:r>
    </w:p>
    <w:p>
      <w:r>
        <w:t>FR: GE_GERICHTE ATA/467/2020 du 12 mai 2020</w:t>
      </w:r>
    </w:p>
    <w:p>
      <w:r>
        <w:t>IT: GE_GERICHTE ATA/467/2020 del 12 maggio 2020</w:t>
      </w:r>
    </w:p>
    <w:p>
      <w:pPr>
        <w:pStyle w:val="Heading2"/>
      </w:pPr>
      <w:r>
        <w:t>Regeste</w:t>
      </w:r>
    </w:p>
    <w:p>
      <w:r>
        <w:t>Résumé: Recours d’une personne propriétaire d’un bien immobilier à l’étranger contre une décision de l’hospice général lui octroyant une aide financière remboursable, en dérogation aux dispositions applicables et à bien plaire, en outre conditionnée à la signature d’une reconnaissance de dette et de démarches en vue de vendre son bien. Le recours est admis dès lors que le bien en question ne dépasse les CHF 4'000.- prévus par la législation ordinaire qui doit être appliquée à la recourante. Examen en outre de l’applicabilité de la convention du Conseil de l’Europe sur la lutte contre la traite des êtres humains du 16 mai 2005, entrée en vigueur pour la Suisse le 1er avril 2013 (convention STCE n˚ 197 - RS 0.311.543).</w:t>
      </w:r>
    </w:p>
    <w:p>
      <w:pPr>
        <w:pStyle w:val="Heading2"/>
      </w:pPr>
      <w:r>
        <w:t>Erwägungen</w:t>
      </w:r>
    </w:p>
    <w:p>
      <w:r>
        <w:rPr>
          <w:b/>
        </w:rPr>
        <w:t>E. 12</w:t>
      </w:r>
    </w:p>
    <w:p>
      <w:r>
        <w:t>septembre 1985 - LPA - E 5 10 ; art. 52 de la loi sur l'insertion et l'aide sociale individuelle du 22 mars 2007 - LIASI - J 4 04). 2)</w:t>
      </w:r>
    </w:p>
    <w:p>
      <w:r>
        <w:t>La recourante sollicite préalablement son audition, ainsi que celle de la directrice du foyer qui l'héberge.</w:t>
      </w:r>
    </w:p>
    <w:p>
      <w:r>
        <w:t>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w:t>
      </w:r>
    </w:p>
    <w:p>
      <w:r>
        <w:t>b. En l'occurrence, la recourante a pu s'exprimer dans son acte de recours et dans sa réplique, ainsi que produire toute pièce utile, de sorte qu'elle a pu valablement exercer son droit d'être entendue. Dans la mesure où elle a également produit, au cours de la procédure, une attestation du foyer dans lequel elle vit, décrivant de manière circonstanciée les difficultés rencontrées par l'intéressée, l'audition de la directrice dudit foyer ne s'avère pas nécessaire, ce d'autant que la recourante ne précise pas ce qu'un tel acte d'instruction permettrait de mettre en lumière.</w:t>
      </w:r>
    </w:p>
    <w:p>
      <w:r>
        <w:t>- 8/14 - A/383/2020</w:t>
      </w:r>
    </w:p>
    <w:p>
      <w:r>
        <w:t>Dans ces circonstances et la chambre administrative étant en possession d'un dossier complet, qui contient les éléments pertinents pour trancher le litige, il ne sera pas donné suite aux demandes d'auditions. 3)</w:t>
      </w:r>
    </w:p>
    <w:p>
      <w:r>
        <w:t>Dans sa réplique du 27 mars 2020, la recourante « ajoute » une conclusion portant sur la constatation de la violation de l'art. 6 de la convention sur l'élimination de toutes les formes de discrimination à l’égard des femmes du 18 décembre 1979, entrée en vigueur pour la Suisse le 26 avril 1997 (RS - 0.108).</w:t>
      </w:r>
    </w:p>
    <w:p>
      <w:r>
        <w:t>a. Selon l'art. 65 LPA, l'acte de recours contient, sous peine d'irrecevabilité, la désignation de la décision attaquée et les conclusions du recourant (al. 1). Il contient également l'exposé des motifs ainsi que l'indication des moyens de preuve (al. 2).</w:t>
      </w:r>
    </w:p>
    <w:p>
      <w:r>
        <w:t>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(ATA/371/2020 du 16 avril 2020 et les réf. citées).</w:t>
      </w:r>
    </w:p>
    <w:p>
      <w:r>
        <w:t>b. L'absence de conclusions ne peut être réparée que dans le délai de recours. Hors ce délai, le fait d'être autorisé à compléter une écriture de recours ne permet pas de suppléer le défaut de conclusions. Partant, des conclusions nouvelles prises au stade de la réplique sont irrecevables (ATA/1790/2019 précité ; ATA/223/2019 du 5 mars 2019).</w:t>
      </w:r>
    </w:p>
    <w:p>
      <w:r>
        <w:t>c. En l'espèce, les conclusions nouvelles formulées par la recourante, qui comparaît par le biais d'un mandataire, dans sa réplique l'ont été hors du délai de recours et sont par conséquent tardives. Elles seront déclarées irrecevables. 4)</w:t>
      </w:r>
    </w:p>
    <w:p>
      <w:r>
        <w:t>Le présent litige porte sur la décision de l'intimé de n'allouer à la recourante qu'une aide financière exceptionnelle, limitée dans le temps, remboursable et soumise à la condition de la signature d'une reconnaissance de dette, et non une aide inconditionnelle, telle qu'elle l'avait sollicitée.</w:t>
      </w:r>
    </w:p>
    <w:p>
      <w:r>
        <w:t>Seuls demeurent toutefois litigieux le caractère remboursable de cette aide, ainsi que l'obligation y relative de la signature mensuelle d'une reconnaissance de dette portant sur le montant des prestations allouées. N'est toutefois pas litigieux le fait que l'intimé ait limité l'aide accordée à la recourante à la durée de son permis de séjour, correspondant à la durée de l'enquête pénale et de la procédure</w:t>
      </w:r>
    </w:p>
    <w:p>
      <w:r>
        <w:t>- 9/14 - A/383/2020 judiciaire ouverte à l'encontre des auteurs de l'infraction dont elle a été victime, dès lors que ce point n'est pas contesté dans le cadre du présent recours.</w:t>
      </w:r>
    </w:p>
    <w:p>
      <w:r>
        <w:t>Par ailleurs, étant donné que l'hospice est entré en matière sur la demande de la recourante et a admis le principe d'une aide financière en sa faveur, la question de savoir qui de l'intimé ou du centre LAVI est débiteur de ces prestations n'a plus à être tranchée à ce stade de la procédure.</w:t>
      </w:r>
    </w:p>
    <w:p>
      <w:r>
        <w:t>Enfin, la recourante est partie à la procédure pénale dirigée contre ses anciens employeurs, prévenus notamment d'usure aggravée et de traite des êtres humains et, pour cette raison, un permis de séjour lui a été délivré. Dès lors, la question de savoir si la recourante a été victime de l'infraction de la traite des êtres humains ou d'une autre infraction peut souffrir de rester ouverte. 5)</w:t>
      </w:r>
    </w:p>
    <w:p>
      <w:r>
        <w:t>La recourante conclut à l'annulation de la décision de l'hospice du</w:t>
      </w:r>
    </w:p>
    <w:p>
      <w:r>
        <w:rPr>
          <w:b/>
        </w:rPr>
        <w:t>E. 13</w:t>
      </w:r>
    </w:p>
    <w:p>
      <w:r>
        <w:t>décembre 2019, estimant que l'art. 12 de la convention STCE n° 197 serait directement applicable, que la législation genevoise en matière d'aide sociale ne serait pas conforme aux obligations internationales de la Suisse relatives à l'assistance des victimes de traite d'êtres humains, que le droit supérieur fédéral et la législation genevoise en matière d'aide sociale auraient été violés, et que la décision litigieuse serait entachée d'arbitraire et violerait le principe de l'égalité. 6)</w:t>
      </w:r>
    </w:p>
    <w:p>
      <w:r>
        <w:t>Dans un récent arrêt (ATA/256/2020 du 3 mars 2020), la chambre de céans s'est prononcée sur le cas d'un homme dont la situation était similaire à celle de la recourante. L'intéressé avait perdu son travail d'employé domestique suite à l'intervention de la BTPI, qui avait donné lieu à l'ouverture d'une procédure pénale à laquelle il était partie. Sans ressources, il avait sollicité des prestations d'aide sociale, étant précisé qu'il était propriétaire d'un bien immobilier dans un pays étranger. L'hospice avait alors rendu une décision similaire à la décision attaquée dans la présente cause et la chambre administrative avait admis le recours pour les raisons qui suivent. 7)</w:t>
      </w:r>
    </w:p>
    <w:p>
      <w:r>
        <w:t>La convention STCE n° 197 a notamment pour objet de protéger les droits de la personne humaine des victimes de la traite, de concevoir un cadre complet de protection et d'assistance aux victimes ainsi que d'assurer des enquêtes et des poursuites efficaces (art. 1 let. b de la convention STCE n° 197).</w:t>
      </w:r>
    </w:p>
    <w:p>
      <w:r>
        <w:t>Son art. 12 a trait à l'assistance aux victimes et concrétise les obligations de protection minimale que la Cour européenne des droits de l'homme (ci-après : CourEDH) a déduit des art. 2 et 4 de la Convention de sauvegarde des droits de l'homme et des libertés fondamentales du 4 novembre 1950, entrée en vigueur pour la Suisse le 28 novembre 1974 (CEDH - RS 0.101 ; ACEDH Chowdury et autres c. Grèce du 30 mars 2017, Req. n° 21884/15, § 103 ss ; message du Conseil fédéral concernant l'approbation et la mise en œuvre de la convention STCE n° 197 et la loi sur la protection extra-procédurale des témoins du 17 novembre</w:t>
      </w:r>
    </w:p>
    <w:p>
      <w:r>
        <w:t>- 10/14 - A/383/2020 2010, FF 2011 1, p. 24). Dès lors que cette disposition prévoit des mesures minimales, les États parties sont libres d'accorder une assistance supplémentaire aux personnes concernées (rapport explicatif du Conseil de l'Europe relatif à la convention STCE n° 197 du 16 mai 2005 n. 151).</w:t>
      </w:r>
    </w:p>
    <w:p>
      <w:r>
        <w:t>L'art. 12 § 1 de la convention STCE n° 197 prévoit ainsi que chaque partie prend les mesures législatives ou autres nécessaires pour assister les victimes dans leur rétablissement physique, psychologique et social, une telle assistance comprenant au minimum notamment des conditions de vie susceptibles d'assurer leur subsistance, par des mesures telles qu'un hébergement convenable et sûr, une assistance psychologique et matérielle (let. a) ainsi que l'accès aux soins médicaux d'urgence (let. b). Aux termes de l'art. 12 §§ 3 et 4 de la convention STCE n° 197, chaque partie fournit l'assistance médicale nécessaire ou tout autre type d'assistance aux victimes résidant légalement sur son territoire qui ne disposent pas de ressources adéquates et en ont besoin et adopte les règles par lesquelles ces victimes sont autorisées à accéder au marché du travail, à la formation professionnelle et à l'enseignement. 8) a. Aux termes de l'art. 12 Cst, quiconque est dans une situation de détresse et n'est pas en mesure de subvenir à son entretien a le droit d'être aidé et assisté, et de recevoir les moyens indispensables pour mener une existence conforme à la dignité humaine.</w:t>
      </w:r>
    </w:p>
    <w:p>
      <w:r>
        <w:t>L'art. 39 al. 1 de la Constitution de la République et canton de Genève du</w:t>
      </w:r>
    </w:p>
    <w:p>
      <w:r>
        <w:rPr>
          <w:b/>
        </w:rPr>
        <w:t>E. 14</w:t>
      </w:r>
    </w:p>
    <w:p>
      <w:r>
        <w:t>octobre 2012 (Cst-GE - A 2 00) reprend ce principe en prévoyant que toute personne a droit à la couverture de ses besoins vitaux afin de favoriser son intégration sociale et professionnelle.</w:t>
      </w:r>
    </w:p>
    <w:p>
      <w:r>
        <w:t>b. En droit genevois, la LIASI et le règlement d'exécution de la loi sur l'insertion et l'aide sociale individuelle du 25 juillet 2007 (RIASI - J 4 04.01) concrétisent ces dispositions constitutionnelles.</w:t>
      </w:r>
    </w:p>
    <w:p>
      <w:r>
        <w:t>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 al. 2 LIASI). Ses prestations sont fournies notamment sous forme de prestations financières (art. 2 let. B LIASI), qui sont subsidiaires à toute autre source de revenu (art. 9 al. 1 LIASI).</w:t>
      </w:r>
    </w:p>
    <w:p>
      <w:r>
        <w:t>c. Ont droit à des prestations d'aide financière les personnes majeures qui ne sont pas en mesure de subvenir à leur entretien ou à celui des membres de la famille dont ils ont la charge (art. 8 al. 1 LIASI). Ces prestations ne sont pas</w:t>
      </w:r>
    </w:p>
    <w:p>
      <w:r>
        <w:t>- 11/14 - A/383/2020 remboursables, sous réserve des art. 12 al. 2 et 36 à 41 LIASI (al. 2). Le Conseil d'État fixe par règlement les conditions d'une aide financière exceptionnelle, qui peut être inférieure à l'aide financière ordinaire et/ou limitée dans le temps, en faveur notamment des personnes étrangères sans autorisation de séjour (art. 11 al. 4 let. e LIASI).</w:t>
      </w:r>
    </w:p>
    <w:p>
      <w:r>
        <w:t>Les prestations d'aide financière sont accordées aux personnes dont le revenu mensuel déterminant n'atteint pas le montant destiné à la couverture des besoins de base et dont la fortune ne dépasse pas les limites fixées par règlement du Conseil d'État (art. 21 al. 1 LIASI). L'art. 1 al. 1 let. a RIASI prévoit ainsi que les limites de fortune permettant de bénéficier des prestations d'aide financière sont de CHF 4'000.- pour une personne seule majeure.</w:t>
      </w:r>
    </w:p>
    <w:p>
      <w:r>
        <w:t>d. Parmi les dispositions traitant des bénéficiaires de l'aide sociale, l'art. 12 LIASI est consacré aux cas exceptionnels. Dès lors que la valeur d'un immeuble dépasse pratiquement toujours les limites de fortune fixées à l'art. 1 al. 1 RIASI, une personne propriétaire d'un immeuble n'aura pratiquement jamais droit à des prestations d'aide financière (arrêt du Tribunal fédéral 8C_444/2019 du 6 février 2020 consid. 6.4). L'art. 12 al. 2 LIASI prévoit toutefois qu'exceptionnellement une aide financière peut être accordée à une personne propriétaire d'un bien immobilier, si ce bien lui sert de demeure permanente. Dans ce cas, l'aide financière accordée est remboursable, l'immeuble pouvant être grevé d'une hypothèque au profit de l'hospice. L'hospice demande le remboursement de ces prestations dès que le bénéficiaire ne remplit plus les conditions du besoin (art. 39 al. 2 LIASI).</w:t>
      </w:r>
    </w:p>
    <w:p>
      <w:r>
        <w:t>De l'exposé des motifs relatifs à la LIASI et des débats ayant porté sur l'art. 12 al. 2 LIASI, il résulte que le législateur estimait nécessaire que l'hospice puisse aider une personne propriétaire de son logement pour éviter que celle-ci soit obligée de réaliser son bien et se retrouve sans toit. Il a été proposé qu'un amendement prévoie que les prestations ainsi accordées soient remboursables, l'hospice pouvant obtenir une hypothèque légale à titre de garantie sur l'immeuble, en contrepartie des prestations financières (MGC 2006-2007/V A - Séance 25 du 23 février 2007). La ratio legis de la loi est ainsi que l'hospice puisse venir en aide à une personne propriétaire de son logement dans lequel elle demeure pour éviter que celle-ci ne se retrouve à la rue en cas de vente de l'immeuble. Ainsi, l'exception prévue à l'art. 12 al. 2 LIASI est celle du cas où le bien immobilier est la demeure permanente de la personne qui demande de l'aide à l'hospice. Le droit à des prestations n'est donc pas ouvert au propriétaire d'un bien immobilier qui n'est pas utilisé comme résidence permanente, l'exception voulue par le législateur n'étant en effet pas réalisée dans ce cas (ATA/256/2020 précité et les références citées). 9) a. En l'espèce, l'intimé a considéré que la recourante ne pouvait se voir octroyer une aide financière fondée directement sur les dispositions de la LIASI</w:t>
      </w:r>
    </w:p>
    <w:p>
      <w:r>
        <w:t>- 12/14 - A/383/2020 en raison du bien immobilier dont elle est propriétaire au Nicaragua, indépendamment de la valeur de celui-ci, mais sur la base d'une application par analogie de cette loi, moyennant la signature mensuelle d'une reconnaissance de dette, les prestations allouées étant remboursables.</w:t>
      </w:r>
    </w:p>
    <w:p>
      <w:r>
        <w:t>b. C'est à juste titre que l'intimé a constaté que la recourante ne demeurait pas dans ledit bien immobilier, de sorte que le cas exceptionnel prévu par l'art. 12 al. 2 LIASI, selon lequel une aide financière remboursable en faveur d'une personne propriétaire d'un bien immobilier qui lui sert de demeure permanente peut être octroyée, ne trouvait pas application à sa situation.</w:t>
      </w:r>
    </w:p>
    <w:p>
      <w:r>
        <w:t>c. Il appartenait toutefois à l'hospice d'examiner si la valeur du bien en question se trouvait dans les limites de fortune fixées par le RIASI, qui est de CHF 4'000.- pour une personne seule majeure (art. 1 al. 1 let. a RIASI), avant d'exclure d'emblée la recourante de l'aide financière, indépendamment de la valeur du bien, sous peine d'aboutir à une situation absurde, ce qu'a encore récemment confirmé la jurisprudence en lien avec une succession non partagée portant sur un immeuble (arrêt du Tribunal fédéral 8C_444/2019 précité consid. 8.3). S'il est vrai que la recourante n'a pas produit de document suffisamment probant s'agissant de la valeur de son immeuble, rien n'indique toutefois que celle-ci serait supérieure au seuil fixé, au regard de la situation de précarité dans laquelle elle se trouvait alors qu'elle travaillait pour ses employeurs, ce qui n'est du reste pas contesté. À cela s'ajoute qu'il ne saurait être exigé de sa part, au regard de sa situation financière déjà précaire, qu'elle entreprenne davantage de démarches longues et coûteuses pour étayer ses allégués.</w:t>
      </w:r>
    </w:p>
    <w:p>
      <w:r>
        <w:t>Ainsi, en présence d'une fortune respectant la limite de l'art. 1 al. 1 let. A RIASI, la recourante était fondée à bénéficier d'une aide financière en application de la LIASI, sans que l'intimé n'assortisse celle-ci d'une obligation de remboursement ni de l'obligation correspondante de signer mensuellement une reconnaissance de dette, conditions non prévues par la loi dans une telle situation. Une solution inverse, comme celle retenue par l'intimé, ne permet pas d'assurer le respect de l'art. 12 de la convention STCE n° 197 en matière d'assistance aux victimes de traite d'êtres humains dans leur rétablissement physique, psychologique et social. Bien que cette disposition ne mentionne pas les modalités de l'aide matérielle à fournir par les État parties, elle contient toutefois un seuil minimal suffisamment précis (ATF 145 I 308 consid. 3.4.1) dont il ne peut être déduit aucune obligation de remboursement à la charge des bénéficiaires de l'aide. Une telle interprétation serait du reste contraire au sens et à l'esprit de la convention STCE n° 197 et reviendrait à la détourner de sa finalité (ATF 144 II 130 consid. 8.2.1), puisqu'elle aurait pour effet de maintenir les personnes concernées dans une situation de précarité, que l'art. 12 de la convention STCE n° 197 tend précisément à endiguer. Dans la situation de la</w:t>
      </w:r>
    </w:p>
    <w:p>
      <w:r>
        <w:t>- 13/14 - A/383/2020 recourante, les montants à rembourser seraient en outre considérables, au regard de la durée probable de la procédure pénale.</w:t>
      </w:r>
    </w:p>
    <w:p>
      <w:r>
        <w:t>d. Il s'ensuit que le recours sera admis, par substitution de motifs, et la décision du 13 décembre 2019 annulée. Le dossier sera renvoyé à l'intimé pour qu'il mette la recourante au bénéfice d'une aide financière exceptionnelle, au sens des considérants, à compter du 1er mai 2020.</w:t>
      </w:r>
    </w:p>
    <w:p>
      <w:r>
        <w:t>Les autres griefs soulevés par la recourante, notamment en lien avec la compatibilité de la législation genevoise avec le droit fédéral et international, ainsi qu'avec l'interdiction de la discrimination et de l'arbitraire deviennent dès lors sans objet. 10) Vu la nature du litige, aucun émolument ne sera perçu (art. 87 al. 1 LPA ; art. 11 du règlement sur les frais, émoluments et indemnités en procédure administrative du 30 juillet 1986 - RFPA - E 5 10.03). Vu son issue, une indemnité de procédure de CHF 1'000.- sera allouée à la recourante, qui obtient gain de cause et y a conclu, à la charge de l'intimé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