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ATA/467/2014 vom 24. Juni 2014</w:t>
      </w:r>
    </w:p>
    <w:p>
      <w:r>
        <w:t>GE Cour de justice, 2014-06-24, FR</w:t>
      </w:r>
    </w:p>
    <w:p>
      <w:r>
        <w:rPr>
          <w:b/>
        </w:rPr>
        <w:t xml:space="preserve">Quelle: </w:t>
      </w:r>
      <w:r>
        <w:t>https://mcp.opencaselaw.ch/entscheid/ge_gerichte_ATA_467_2014</w:t>
      </w:r>
    </w:p>
    <w:p>
      <w:r>
        <w:t>FR: GE_GERICHTE ATA/467/2014 du 24 juin 2014</w:t>
      </w:r>
    </w:p>
    <w:p>
      <w:r>
        <w:t>IT: GE_GERICHTE ATA/467/2014 del 24 giugno 2014</w:t>
      </w:r>
    </w:p>
    <w:p>
      <w:pPr>
        <w:pStyle w:val="Heading2"/>
      </w:pPr>
      <w:r>
        <w:t>Erwägungen</w:t>
      </w:r>
    </w:p>
    <w:p>
      <w:r>
        <w:rPr>
          <w:b/>
        </w:rPr>
        <w:t>E. 21</w:t>
      </w:r>
    </w:p>
    <w:p>
      <w:r>
        <w:t>janvier 1993 entre la Confédération suisse et le Grand-Duché de Luxembourg en vue d'éviter les doubles impositions en matière d'impôts sur le revenu et sur la fortune (CLux, RS 0.672.951.81). Selon l’art. 7 al. 6 CLux, les bénéfices à imputer à l'établissement stable sont déterminés chaque année selon la même méthode, à moins qu'il n'existe des motifs valables et suffisants de procéder autrement. Cette dernière clause appartient au modèle de convention de double imposition de l’organisation de coopération et de développement économiques (ci-après : OCDE), dont elle a été manifestement reprise. Elle est l’expression du principe de la continuité des méthodes (Commentaire OCDE n. 58 ad art. 7). Ainsi que le relève un auteur au sujet de cette disposition, les conventions de double imposition ont également pour but de donner aux entreprises certaines assurances quant au statut fiscal accordé aux diverses entités qui les composent (Xavier OBERSON, Précis de droit fiscal international, 3ème éd., 2009, n. 405 p. 129).</w:t>
      </w:r>
    </w:p>
    <w:p>
      <w:r>
        <w:t>En l’espèce, la recourante connaissait précisément les termes de l’accord conclu avec l’autorité intimée. Elle ne les a pas respectés et les conséquences de cette situation lui étaient tout autant connues, étant souligné qu’elle a été assistée tout au long de ses démarches avec l’administration de conseils. Il s’ensuit qu’il est pour le moins douteux que l’art. 7 al. 6 CLux puisse fonder en droit l’obligation pour l’autorité intimée de taxer partiellement la recourante en conformité avec le statut. La recourante, quoi qu’il en soit, ne l’allègue pas, ni a fortiori ne le démontre, étant souligné qu’elle n’a aucunement fait valoir un quelconque élément de fait dans ce sens (par exemple, une assurance ressortant du texte du statut ou encore donnée par ailleurs par l’autorité intimée), et il n’appartient pas au juge administratif de le faire d’office, étant rappelé que le fardeau de la preuve incombe exclusivement à la recourante en la matière (cf. consid. 5a supra). 7)</w:t>
      </w:r>
    </w:p>
    <w:p>
      <w:r>
        <w:t>En définitive, la solution retenue par l’instance précédente ne consacre aucun abus ou excès du pouvoir d’appréciation et s’avère ainsi conforme au droit fédéral.</w:t>
      </w:r>
    </w:p>
    <w:p>
      <w:r>
        <w:t>- 8/9 - A/1374/2011</w:t>
      </w:r>
    </w:p>
    <w:p>
      <w:r>
        <w:t>A cela s’ajoute le fait que la jurisprudence a pu poser que la disparition de motifs, en cours d’exercice, justifiant un privilège fiscal en faveur du contribuable n’autorisait pas ce dernier à prétendre à une taxation partielle (Arrêt du Tribunal fédéral 2C_842/2013 précité, confirmant l’ATA/483/2013 précité; ATF 127 II 113 consid. 8c p. 121).</w:t>
      </w:r>
    </w:p>
    <w:p>
      <w:r>
        <w:t>Vu les motifs qui précèdent, la question de savoir si le statut était conforme au droit (cf. consid. 4b supra) peut demeurer ouverte.</w:t>
      </w:r>
    </w:p>
    <w:p>
      <w:r>
        <w:t>Le recours doit donc être rejeté. 8)</w:t>
      </w:r>
    </w:p>
    <w:p>
      <w:r>
        <w:t>Vu l’issue du recours, un émolument de CHF 3'000.- sera mis à la charge de la recourante (art. 87 al. 1 LPA). Il n’est pas alloué d’indemnité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