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ATA/466/2016 vom 2. Juni 2016</w:t>
      </w:r>
    </w:p>
    <w:p>
      <w:r>
        <w:t>GE Cour de justice, 2016-06-02, FR</w:t>
      </w:r>
    </w:p>
    <w:p>
      <w:r>
        <w:rPr>
          <w:b/>
        </w:rPr>
        <w:t xml:space="preserve">Quelle: </w:t>
      </w:r>
      <w:r>
        <w:t>https://mcp.opencaselaw.ch/entscheid/ge_gerichte_ATA_466_2016</w:t>
      </w:r>
    </w:p>
    <w:p>
      <w:r>
        <w:t>FR: GE_GERICHTE ATA/466/2016 du 2 juin 2016</w:t>
      </w:r>
    </w:p>
    <w:p>
      <w:r>
        <w:t>IT: GE_GERICHTE ATA/466/2016 del 2 giugno 2016</w:t>
      </w:r>
    </w:p>
    <w:p>
      <w:pPr>
        <w:pStyle w:val="Heading2"/>
      </w:pPr>
      <w:r>
        <w:t>Erwägungen</w:t>
      </w:r>
    </w:p>
    <w:p>
      <w:r>
        <w:rPr>
          <w:b/>
        </w:rPr>
        <w:t>E. 1</w:t>
      </w:r>
    </w:p>
    <w:p>
      <w:r>
        <w:t>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w:t>
      </w:r>
    </w:p>
    <w:p>
      <w:r>
        <w:rPr>
          <w:b/>
        </w:rPr>
        <w:t>E. 2</w:t>
      </w:r>
    </w:p>
    <w:p>
      <w:r>
        <w:t>Selon l’art. 10 al. 2 1ère phr. LaLEtr, la chambre administrative doit statuer dans les dix jours qui suivent sa saisine. Ayant reçu le recours le 24 mai 2016 et statuant ce jour, elle respecte ce délai.</w:t>
      </w:r>
    </w:p>
    <w:p>
      <w:r>
        <w:t>La chambre administrative est en outre compétente pour apprécier l'opportunité des décisions portées devant elle en cette matière (art. 10 al. 2 2ème phr. LaLEtr).</w:t>
      </w:r>
    </w:p>
    <w:p>
      <w:r>
        <w:rPr>
          <w:b/>
        </w:rPr>
        <w:t>E. 3</w:t>
      </w:r>
    </w:p>
    <w:p>
      <w:r>
        <w:t>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w:t>
      </w:r>
    </w:p>
    <w:p>
      <w:r>
        <w:t>- 6/11 - A/1521/2016 29 juillet 2014 consid. 5a ; ATA/790/2012 du 20 novembre 2012 ; ATA/281/2012 du 8 mai 2012 ; ATA/5/2009 du 13 janvier 2009 et les références citées).</w:t>
      </w:r>
    </w:p>
    <w:p>
      <w:r>
        <w:t>c. En principe, la qualité pour recourir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d. En outre, dans le domaine de la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ATA/2/2016 du 4 janvier 2016 consid. 2). La chambre de céans est dès lors déjà entrée en matière sur des recours de l'autorité contre des jugements de mise en liberté prononcés par le TAPI (ATA/2/2016 précité consid. 2 ; ATA/1127/2015 du 27 novembre 2015 consid. 3 ; ATA/1108/2015 du 14 octobre 2015 consid 2f).</w:t>
      </w:r>
    </w:p>
    <w:p>
      <w:r>
        <w:rPr>
          <w:b/>
        </w:rPr>
        <w:t>E. 4</w:t>
      </w:r>
    </w:p>
    <w:p>
      <w:r>
        <w:t>En l'espèce, la question la recevabilité du recours peut toutefois souffrir de demeurer ouverte pour les raisons qui suivent.</w:t>
      </w:r>
    </w:p>
    <w:p>
      <w:r>
        <w:rPr>
          <w:b/>
        </w:rPr>
        <w:t>E. 5</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6</w:t>
      </w:r>
    </w:p>
    <w:p>
      <w:r>
        <w:t>Aux termes de l’art. 76 al. 1 let. b ch. 1 LEtr, lorsqu'une décision de renvoi ou d'expulsion a été notifiée, l'autorité compétente peut, afin d'en assurer</w:t>
      </w:r>
    </w:p>
    <w:p>
      <w:r>
        <w:t>- 7/11 - A/1521/2016 l'exécution, placer la personne concernée en détention administrative, notamment si elle menace sérieusement d’autres personnes ou met gravement en danger leur vie ou leur intégrité corporelle et fait l’objet d’une poursuite pénale (art. 75 al. 1 let. g LEtr) ou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w:t>
      </w:r>
    </w:p>
    <w:p>
      <w:r>
        <w:rPr>
          <w:b/>
        </w:rPr>
        <w:t>E. 7</w:t>
      </w:r>
    </w:p>
    <w:p>
      <w:r>
        <w:t>L'art. 75 al. 1 let. g LEtr étant calqué sur l'art. 13a let. e de l'ancienne loi fédérale sur le séjour et l’établissement des étrangers du 26 mars 1931 (aLSEE - RS 1 113), il convient dès lors de s'inspirer de la jurisprudence y relative (arrêt du Tribunal fédéral 2C_293/2012 du 18 avril 2012 consid. 4.2 et les références citées).</w:t>
      </w:r>
    </w:p>
    <w:p>
      <w:r>
        <w:rPr>
          <w:b/>
        </w:rPr>
        <w:t>E. 8</w:t>
      </w:r>
    </w:p>
    <w:p>
      <w:r>
        <w:t>a. Un étranger menace sérieusement d'autres personnes ou met gravement en danger leur vie ou leur intégrité corporelle au sens de l'art. 75 al. 1 let. g LEtr s'il commet des infractions à l’encontre de la vie et de l'intégrité corporelle (art. 111 ss CP), contre la liberté (art. 180 ss CP) ou contre l'intégrité sexuelle dès qu'il y a contrainte (art. 189 et 190 CP ; TARKAN GÖKSU, in Martina CARONI/Thomas GÄCHTER/Daniela THURNHERR [éd.], Bundesgesetz über die Ausländerinnen und Ausländer [AuG], 2010, n. 22 ad art. 75 LEtr ; Andreas ZÜND, Migrationsrecht, 2ème éd., 2009, n. 10 ad art. 75 LEtr ; Thomas HUGI YAR, Ausländerrecht, 2ème éd., 2009, n. 10.72 p. 458 ss).</w:t>
      </w:r>
    </w:p>
    <w:p>
      <w:r>
        <w:t>b. Sont aussi visées les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w:t>
      </w:r>
    </w:p>
    <w:p>
      <w:r>
        <w:t>c. Le comportement répréhensible doit revêtir une certaine intensité. Les infractions, y compris en relation avec les stupéfiants, qui apparaissent comme des cas-bagatelles ne suffisent pas. La disposition ayant pour but d'empêcher que l'étranger continue son comportement dangereux, il faut effectuer un pronostic pour déterminer si, sur la base des circonstances connues, il existe un risque sérieux que d'autres mises en danger graves se reproduisent (arrêt du Tribunal fédéral 2C_293/2012 précité consid. 4.3 et les références citées).</w:t>
      </w:r>
    </w:p>
    <w:p>
      <w:r>
        <w:t>d.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w:t>
      </w:r>
    </w:p>
    <w:p>
      <w:r>
        <w:t>- 8/11 - A/1521/2016 présentent un risque de récidive (arrêts du Tribunal fédéral 2C_293/2012 précité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(ATF 125 II 369 consid. 3b.bb ; arrêts du Tribunal fédéral 2C_293/2012 précité consid. 4.3 ; 2A.35/2000 précité consid. 2b.bb ; 2A.450/1995 précité consid. 5b). En revanche, celui qui n'a agi que de manière isolée avec une petite quantité de stupéfiants ne représente pas encore un danger grave pour la vie ou l'intégrité corporelle d'autres personnes (arrêts du Tribunal fédéral 2C_293/2012 précité consid. 4.3 ; 2A.480/2003 précité consid. 3.1 in fine ; 2A.35/2000 précité consid. 2b.bb ; 2A.450/1995 précité consid. 3b).</w:t>
      </w:r>
    </w:p>
    <w:p>
      <w:r>
        <w:t>e. Il en découle qu'un petit dealer condamné une fois pour trafic d'une faible quantité de drogue dure peut tomber sous le coup de l'art. 75 al. 1 let. g LEtr,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à entraîner l'application de l'art. 19 al. 2 let. a LStup n'est pas pertinent, étant relevé que cette disposition pénale suppose une mise en danger de la santé de nombreuses personnes, alors que l'art. 75 al. 1 let. g LEtr met l'accent sur la gravité de la mise en danger et non sur le nombre de personnes susceptibles d'être touchées (arrêt du Tribunal fédéral 2C_293/2012 précité consid. 4.3).</w:t>
      </w:r>
    </w:p>
    <w:p>
      <w:r>
        <w:t>f. Dans cette mesure, le Tribunal fédéral a jugé que la position de la chambre de céans, qui se fondait sur sa jurisprudence selon laquelle le seul fait que l'intéressé ait été condamné pénalement pour trafic de cocaïne, soit une drogue « dure », justifiait l'application de l'art. 75 al. 1 let. g LEtr,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LEtr (arrêt du Tribunal fédéral 2C_293/2012 précité consid. 4.5).</w:t>
      </w:r>
    </w:p>
    <w:p>
      <w:r>
        <w:rPr>
          <w:b/>
        </w:rPr>
        <w:t>E. 9</w:t>
      </w:r>
    </w:p>
    <w:p>
      <w:r>
        <w:t>En l'espèce, M. A______ fait l'objet d'une procédure pénale – non encore close, l'intéressé ayant formé opposition à l'ordonnance pénale émise à son encontre – pour violation simple de la LStup ; l'ordonnance pénale rendue le</w:t>
      </w:r>
    </w:p>
    <w:p>
      <w:r>
        <w:t>- 9/11 - A/1521/2016</w:t>
      </w:r>
    </w:p>
    <w:p>
      <w:r>
        <w:rPr>
          <w:b/>
        </w:rPr>
        <w:t>E. 12</w:t>
      </w:r>
    </w:p>
    <w:p>
      <w:r>
        <w:t>mai 2016 lui impute la vente d'une seule dose de cocaïne. M. A______ n'a en outre aucun antécédent pénal connu en matière de stupéfiants.</w:t>
      </w:r>
    </w:p>
    <w:p>
      <w:r>
        <w:t>M. A______ a indiqué à la police être arrivé à Genève quelques jours plus tôt ; si cette affirmation peut paraître sujette à caution, la police n'a quant à elle fourni le moindre élément concret permettant de retenir que l'intimé se trouvait à Genève depuis plus longtemps et qu'il ait pu s'adonner de plus longue date à un trafic de stupéfiants – étant rappelé qu'en l'état, il n'a jamais été condamné pour des faits de ce type, la seule procédure pénale ouverte de ce chef étant encore en cours.</w:t>
      </w:r>
    </w:p>
    <w:p>
      <w:r>
        <w:t>De plus, M. A______ jouit en principe d'un statut légal en Italie et n'est donc pas voué à rester, démuni de toute ressource, à Genève, soit dans une situation où il n'aurait guère d'autre possibilité que de se livrer à des activités illicites pour satisfaire à ses besoins élémentaires.</w:t>
      </w:r>
    </w:p>
    <w:p>
      <w:r>
        <w:t>Dans son recours, le commissaire de police ne donne aucun élément supplémentaire permettant de retenir un risque de réitération. Il fonde son raisonnement sur le fait que l'argent retrouvé sur l'intéressé prouve soit son dessein de lucre (au cas où il aurait pu éviter d'avoir recours au trafic de stupéfiants) soit la nécessité de poursuivre le trafic pour subvenir à ses besoins. Or en l'état la provenance illicite de cet argent est contestée et ne peut être considérée comme établie sur la base des éléments du dossier ; il ne s'agit au demeurant pas d'un montant rendant son obtention par d'autres moyens que la commission d'infractions pénales, et notamment le trafic de stupéfiants, invraisemblable.</w:t>
      </w:r>
    </w:p>
    <w:p>
      <w:r>
        <w:t>Quant à la pratique du TAPI évoquée par le recourant, d'une part une telle pratique ne lierait en tout état pas la chambre de céans, d'autre part le seul jugement cité à l'appui de cette thèse (JTAPI/338/2016 du 1er avril 2016) concerne un cas dont les circonstances de fait différaient assez notablement de la présente espèce sur deux points, à savoir le type et la quantité de drogue vendue (15.3 g d'héroïne), et le fait que l'intéressé avait admis, lors de son audition par la police, s'adonner au trafic de stupéfiants. 10.</w:t>
      </w:r>
    </w:p>
    <w:p>
      <w:r>
        <w:t>Dès lors, en l'absence d'indices concrets permettant de retenir pour l'avenir une grave mise en danger de la vie ou de l'intégrité d'autres personnes, l'art. 75 al. 1 let. g LEtr ne pouvait fonder une détention administrative, et aucun autre motif de détention n'est allégué par le recourant, ni n'apparaît d'emblée applicable au cas d'espèce.</w:t>
      </w:r>
    </w:p>
    <w:p>
      <w:r>
        <w:t>Dans ces conditions, le jugement attaqué, qui a laissé la question du motif de détention ouverte, est conforme au droit dans son résultat, et doit être confirmé par substitution de motifs ; le recours sera par conséquent rejeté en tant qu'il est recevable. Vu l'absence de motif de détention, point n'est besoin d'examiner les autres griefs invoqués ou les autres motivations du jugement entrepris.</w:t>
      </w:r>
    </w:p>
    <w:p>
      <w:r>
        <w:t>- 10/11 - A/1521/2016 11.</w:t>
      </w:r>
    </w:p>
    <w:p>
      <w:r>
        <w:t>Vu la nature du litige et son issue, il ne sera pas perçu d'émolument (art. 87 al. 1 2ème phr. LPA et art. 12 du règlement sur les frais, émoluments et indemnités en procédure administrative du 30 juillet 1986 - RFPA - E 5 10.03), et une indemnité de procédure de CHF 800.- sera allouée à l'intimé,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