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ATA/462/2017 vom 25. April 2017</w:t>
      </w:r>
    </w:p>
    <w:p>
      <w:r>
        <w:t>GE Cour de justice, 2017-04-25, FR</w:t>
      </w:r>
    </w:p>
    <w:p>
      <w:r>
        <w:rPr>
          <w:b/>
        </w:rPr>
        <w:t xml:space="preserve">Quelle: </w:t>
      </w:r>
      <w:r>
        <w:t>https://mcp.opencaselaw.ch/entscheid/ge_gerichte_ATA_462_2017</w:t>
      </w:r>
    </w:p>
    <w:p>
      <w:r>
        <w:t>FR: GE_GERICHTE ATA/462/2017 du 25 avril 2017</w:t>
      </w:r>
    </w:p>
    <w:p>
      <w:r>
        <w:t>IT: GE_GERICHTE ATA/462/2017 del 25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w:t>
      </w:r>
    </w:p>
    <w:p>
      <w:r>
        <w:t>Les délais sont réputés observés lorsque l’acte de recours est parvenu à l’autorité ou a été remis à son adresse à un bureau de poste suisse ou à une</w:t>
      </w:r>
    </w:p>
    <w:p>
      <w:r>
        <w:t>- 3/6 - A/4412/2016 représentation diplomatique ou consulaire suisse au plus tard le dernier jour du délai avant minuit (art. 17 al. 4 LPA).</w:t>
      </w:r>
    </w:p>
    <w:p>
      <w:r>
        <w:t>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1er septembre 2015 consid. 2b).</w:t>
      </w:r>
    </w:p>
    <w:p>
      <w:r>
        <w:t>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w:t>
      </w:r>
    </w:p>
    <w:p>
      <w:r>
        <w:rPr>
          <w:b/>
        </w:rPr>
        <w:t>E. 3</w:t>
      </w:r>
    </w:p>
    <w:p>
      <w:r>
        <w:t>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(ATA/1068/2015 du 6 octobre 2015 consid. 5a ;</w:t>
      </w:r>
    </w:p>
    <w:p>
      <w:r>
        <w:t>- 4/6 - A/4412/2016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w:t>
      </w:r>
    </w:p>
    <w:p>
      <w:r>
        <w:t>b.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(ATA/642/2015 du 16 juin 2015 consid. 4 ; ATA/105/2014 du 18 février 2014 consid. 5).</w:t>
      </w:r>
    </w:p>
    <w:p>
      <w:r>
        <w:rPr>
          <w:b/>
        </w:rPr>
        <w:t>E. 4</w:t>
      </w:r>
    </w:p>
    <w:p>
      <w:r>
        <w:t>En l’espèce, la décision initiale de l’OCPM a été notifiée par pli recommandé, le délai de garde se terminant le 17 octobre 2016. Elle n’a pas été retirée par l’intéressé. Dès lors, le délai de recours a commencé à courir le 18 octobre 2016, et s’est terminé trente jours plus tard, soit le 16 novembre 2016.</w:t>
      </w:r>
    </w:p>
    <w:p>
      <w:r>
        <w:t>Le recourant n’indique pas s’être trouvé dans un cas de force majeure.</w:t>
      </w:r>
    </w:p>
    <w:p>
      <w:r>
        <w:t>En conséquence, c’est à juste titre que le TAPI a déclaré le recours, mis à la poste le 21 décembre 2016, irrecevable pour cause de tardiveté.</w:t>
      </w:r>
    </w:p>
    <w:p>
      <w:r>
        <w:rPr>
          <w:b/>
        </w:rPr>
        <w:t>E. 5</w:t>
      </w:r>
    </w:p>
    <w:p>
      <w:r>
        <w:t>Au vu de ce qui précède, ce jugement sera confirmé et le recours, manifestement mal fondé, sera rejeté sans autre acte d’instruction conformément à l’art. 72 LPA.</w:t>
      </w:r>
    </w:p>
    <w:p>
      <w:r>
        <w:t>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