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ATA/45/2020 vom 17. Januar 2020</w:t>
      </w:r>
    </w:p>
    <w:p>
      <w:r>
        <w:t>GE Cour de justice, 2020-01-17, FR</w:t>
      </w:r>
    </w:p>
    <w:p>
      <w:r>
        <w:rPr>
          <w:b/>
        </w:rPr>
        <w:t xml:space="preserve">Quelle: </w:t>
      </w:r>
      <w:r>
        <w:t>https://mcp.opencaselaw.ch/entscheid/ge_gerichte_ATA_45_2020</w:t>
      </w:r>
    </w:p>
    <w:p>
      <w:r>
        <w:t>FR: GE_GERICHTE ATA/45/2020 du 17 janvier 2020</w:t>
      </w:r>
    </w:p>
    <w:p>
      <w:r>
        <w:t>IT: GE_GERICHTE ATA/45/2020 del 17 gennaio 2020</w:t>
      </w:r>
    </w:p>
    <w:p>
      <w:pPr>
        <w:pStyle w:val="Heading2"/>
      </w:pPr>
      <w:r>
        <w:t>Erwägungen</w:t>
      </w:r>
    </w:p>
    <w:p>
      <w:r>
        <w:rPr>
          <w:b/>
        </w:rPr>
        <w:t>E. 12</w:t>
      </w:r>
    </w:p>
    <w:p>
      <w:r>
        <w:t>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des mesures provisionnelles - au nombre desquelles compte le retrait de l'effet suspensif - ne sont légitimes que si elles s'avèrent indispensables au maintien d'un état de fait ou à la sauvegarde d'intérêts compromis (ATF 119 V 503 consid. 3 ; ATA/898/2019 du 14 mai 2019 ; ATA/503/2018 du 23 mai 2018) ; qu'elles ne</w:t>
      </w:r>
    </w:p>
    <w:p>
      <w:r>
        <w:t>- 4/5 - A/4352/2019 sauraient, en principe, anticiper le jugement définitif (Isabelle HÄNER, Vorsorgliche Massnahmen in Verwaltungsverfahren und Verwaltungsprozess in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chambre de céans dispose dans l'octroi de mesures provisionnelles d'un large pouvoir d'appréciation (arrêt du Tribunal fédéral 2C_1161/2013 du 27 février 2014 consid. 5.5.1) ;</w:t>
      </w:r>
    </w:p>
    <w:p>
      <w:r>
        <w:t>qu'en l'espèce, le recourant ne conteste pas avoir été sous l’emprise de l’alcool sur son lieu de travail le 29 mars 2018 ; qu’il ressort également de son courrier du</w:t>
      </w:r>
    </w:p>
    <w:p>
      <w:r>
        <w:rPr>
          <w:b/>
        </w:rPr>
        <w:t>E. 16</w:t>
      </w:r>
    </w:p>
    <w:p>
      <w:r>
        <w:t>janvier 2019 à l’intimé qu’il reconnaît avoir été ivre le 20 août 2018, raison pour laquelle il ne s’était pas présenté sur son lieu de travail ; que selon le certificat médical du 29 octobre 2019 des Hôpitaux universitaires de Genève, le recourant avait, le 28 octobre 2019, été admis pour sa 8e hospitalisation pour « mise à l’abri des idées suicidaires dans un contexte social difficile et une addiction à l’alcool » et était « actuellement abstinent, mais dans un environnement protégé » ;</w:t>
      </w:r>
    </w:p>
    <w:p>
      <w:r>
        <w:t>qu’au vu des éléments qui précèdent, l’autorité intimée rend, prima facie et sans préjudice de l’examen au fond, vraisemblable son intérêt à ne pas exposer ses résidents, à savoir des personnes vulnérables, à l’éventualité d’un comportement inadéquat du recourant, la procédure portant en particulier sur l’incapacité de celui-ci dans le passé à maîtriser sa consommation d’alcool lorsqu’il travaillait ;</w:t>
      </w:r>
    </w:p>
    <w:p>
      <w:r>
        <w:t>que, par ailleurs, selon la jurisprudence de la chambre administrative, rendue en matière des résiliation des rapports de service, l'intérêt privé du recourant à conserver les revenus relatifs au maintien desdits rapports doit céder le pas à l'intérêt public à la préservation des finances de l'État (ATA/1559/2019 du 21 octobre 2019 ; ATA/191/2019 du 26 février 2019), étant relevé que le recourant ne fait pas valoir qu'en l'absence de restitution de l'effet suspensif, il s'exposerait à un préjudice difficilement réparable ;</w:t>
      </w:r>
    </w:p>
    <w:p>
      <w:r>
        <w:t>que, partant, l’intérêt de l’intimée à l’exécution immédiate de la décision querellée l’emporte sur celui du recourant à renoncer à ladite exécution ;</w:t>
      </w:r>
    </w:p>
    <w:p>
      <w:r>
        <w:t>qu'il sera statué sur les frais de l'incident avec la décision au fond. LA CHAMBRE ADMINISTRATIVE Retire l’effet suspensif au recours ; réserve le sort des frais de la procédure jusqu’à droit jugé au fond ;</w:t>
      </w:r>
    </w:p>
    <w:p>
      <w:r>
        <w:t>- 5/5 - A/4352/2019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à Me Stéphane Penet, avocat du recourant, ainsi qu'à Me Constansa Sudre, avocate de l’intimée.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