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ATA/45/2016 vom 19. Januar 2016</w:t>
      </w:r>
    </w:p>
    <w:p>
      <w:r>
        <w:t>GE Cour de justice, 2016-01-19, FR</w:t>
      </w:r>
    </w:p>
    <w:p>
      <w:r>
        <w:rPr>
          <w:b/>
        </w:rPr>
        <w:t xml:space="preserve">Quelle: </w:t>
      </w:r>
      <w:r>
        <w:t>https://mcp.opencaselaw.ch/entscheid/ge_gerichte_ATA_45_2016</w:t>
      </w:r>
    </w:p>
    <w:p>
      <w:r>
        <w:t>FR: GE_GERICHTE ATA/45/2016 du 19 janvier 2016</w:t>
      </w:r>
    </w:p>
    <w:p>
      <w:r>
        <w:t>IT: GE_GERICHTE ATA/45/2016 del 19 gennaio 2016</w:t>
      </w:r>
    </w:p>
    <w:p>
      <w:pPr>
        <w:pStyle w:val="Heading2"/>
      </w:pPr>
      <w:r>
        <w:t>Regeste</w:t>
      </w:r>
    </w:p>
    <w:p>
      <w:r>
        <w:t>Résumé: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w:t>
      </w:r>
    </w:p>
    <w:p>
      <w:pPr>
        <w:pStyle w:val="Heading2"/>
      </w:pPr>
      <w:r>
        <w:t>Erwägungen</w:t>
      </w:r>
    </w:p>
    <w:p>
      <w:r>
        <w:rPr>
          <w:b/>
        </w:rPr>
        <w:t>E. 17</w:t>
      </w:r>
    </w:p>
    <w:p>
      <w:r>
        <w:t>juin 2014 consid. 4 et les arrêts cités).</w:t>
      </w:r>
    </w:p>
    <w:p>
      <w:r>
        <w:t>c. En l’espèce, la recourante a rencontré en personne le directeur général des HUG le 6 juillet 2015, ce qui ressort de la décision querellée. Il n’est pas contesté que cette rencontre portait sur la suppression de l’indemnité litigieuse. Même si on admettait que l’intéressée ne pouvait pas s’attendre à ce que cette rencontre porte sur cette question et qu’elle n’ait en conséquence pas pu, lors de ladite réunion, faire valoir son point de vue de manière suffisamment efficace, et ce malgré le fait que les travaux législatifs relatifs à la suppression de l’indemnité litigieuse aient été largement relayés par la presse locale, la chambre de céans, habilitée à revoir les faits et le droit (art. 61 al. 1 LPA), dispose, au sujet de la suppression de l’indemnité litigieuse, du même pouvoir d’examen que les HUG. En effet, la loi 11’328 ne laisse aucune marge de manœuvre à ces derniers, dans la mesure où elle abroge l’ancien art. 23A LTrait sur la base duquel la recourante percevait l’indemnité litigieuse. N’étant pas contesté que l’intéressée ne remplit pas les conditions de l’art. 23B LTrait, les HUG n’avaient, en l’état du droit applicable, pas d’autre choix que de lui supprimer le versement de l’indemnité litigieuse.</w:t>
      </w:r>
    </w:p>
    <w:p>
      <w:r>
        <w:t>Le fait qu’un recours ait été pendant, au moment de rendre la décision querellée, devant la chambre constitutionnelle et que deux nouveaux projets de lois relatifs à l’indemnité litigieuse aient entretemps été déposés devant le Grand Conseil et soient en cours d’examen, ne change rien à l’état de la législation applicable à la question litigieuse depuis le 28 mars 2015, que les HUG sont tenus de respecter. L’abrogation de l’ancien art. 23A LTrait et la teneur de l’art. 23B LTrait ne permettent pas aux HUG de statuer en opportunité sur la question de l’octroi de l’indemnité de 8.3% à la recourante, y compris s’agissant d’une appréciation temporelle, dans la mesure où la loi 11’328 est entrée en vigueur le 28 mars 2015 et qu’elle doit depuis lors être appliquée. Le fait que les HUG aient tardé à la mettre en œuvre ne signifie pas qu’ils aient agi à bon droit. La chambre administrative peut donc réparer une éventuelle violation du droit d’être entendu de la recourante s’agissant de la suppression de l’indemnité litigieuse, l’existence d’une telle violation pouvant dès lors rester ouverte, la recourante ayant pu faire efficacement valoir son droit d’être entendu et ses arguments dans son acte de recours devant la chambre administrative. Le recours sera donc rejeté sur ce point. 3)</w:t>
      </w:r>
    </w:p>
    <w:p>
      <w:r>
        <w:t>La recourante considère que la loi 11’328 viole ses droits acquis fondés directement sur le texte de l’ancien art. 23A LTrait.</w:t>
      </w:r>
    </w:p>
    <w:p>
      <w:r>
        <w:t>- 9/20 - A/3023/2015</w:t>
      </w:r>
    </w:p>
    <w:p>
      <w:r>
        <w:t>Ce grief se confond avec celui soulevé par des cadres visés par cette disposition, devant la chambre constitutionnelle dans le cadre du recours contre la loi 11’328. La recourante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13ème salaire, qui ne pouvait ainsi être considérée comme acquise (ACST/13/2015 consid. 6 à 8).</w:t>
      </w:r>
    </w:p>
    <w:p>
      <w:r>
        <w:t>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Par ailleurs, le fait que la recourante n’ait elle-même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de la Constitution de la République et canton de Genève du 14 octobre 2012 (Cst-GE A 2 00). D’autre part, les tribunaux cantonaux sont tenus d’examiner, sur demande du recourant, la conformité du droit cantonal applicable au droit supérieur, en application des art. 5 al. 1 et art. 49 al. 1 Cst (ATF 127 I 185 consid. 2 ; ATF 119</w:t>
      </w:r>
    </w:p>
    <w:p>
      <w:r>
        <w:t>- 10/20 - A/3023/2015 IA 321 consid. 4 ; arrêt du Tribunal fédéral 6B_856/2014 précité consid. 3.3 et 3.4 ; Andreas AUER/Giorgio MALINVERNI/Michel HOTTELIER, Droit constitutionnel suisse, vol. II, 3ème éd., 2013, p. 665 ss ; Pierre MOOR/Alexandre FLÜCKIGER/Vincent MARTENET, Droit administratif, vol. I, 3ème éd., 2012, p. 318, 323s et 345 ss).</w:t>
      </w:r>
    </w:p>
    <w:p>
      <w:r>
        <w:t>En l’espèce, vu que la recourante soutient bénéficier de droits acquis tirés du texte de l’ancien art. 23A LTrait et en l’absence d’éléments nouveaux déterminants, la chambre administrative fait sienne l’argumentation de la chambre constitutionnelle, exposée dans son arrêt ACST/13/2015. Quant au contrôle concret de cette disposition, la recourante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le versement de l’indemnité litigieuse ne lui a pas été garanti et ne saurait donc être considéré comme acquis. Le recours doit donc être rejeté sur ce point.</w:t>
      </w:r>
    </w:p>
    <w:p>
      <w:r>
        <w:t>4)</w:t>
      </w:r>
    </w:p>
    <w:p>
      <w:r>
        <w:t>La recourante estime que tant la loi 11’328 que la décision litigieuse violent le principe de la bonne foi, en raison de l’absence d’un régime transitoire dans ladite loi et de l’effet imprévisible et conséquent de celle-ci sur son traitement mensuel.</w:t>
      </w:r>
    </w:p>
    <w:p>
      <w:r>
        <w:t>Ce grief, qui vise dans la présente procédure la décision litigieuse, a été examiné par la chambre constitutionnelle dans son arrêt ACST/13/2015,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w:t>
      </w:r>
    </w:p>
    <w:p>
      <w:r>
        <w:t>- 11/20 - A/3023/2015 genevoise, de sorte que le risque de suppression de l’indemnité prévue dans l’ancien art. 23A LTrait était connu (ACST/13/2015 précité consid. 7 et 8c).</w:t>
      </w:r>
    </w:p>
    <w:p>
      <w:r>
        <w:t>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d’application, à savoir in casu les HUG. S’il ne fait pas de doute que cette loi en tant qu’elle abrogeait l’ancien art. 23A LTrait, qui définissait la catégorie des personnes concernées par cette disposition et fixait les critères du versement de l’indemnité litigieuse, devait être concrétisée dans le cas de la recourante par une décision afin de lui en opposer les effets juridiques, il n’en demeure pas moins qu’en rendant celle-ci, les HUG étaient liés par la loi 11’328. Le fait qu’ils aient tardé à appliquer cette dernière, n’y change rien et ne saurait constituer une assurance concrète ou un comportement déterminé, dont l’intéressée ne pouvait se rendre compte immédiatement de l’inexactitude, qui serait susceptible de lier les HUG en vertu du principe de la bonne foi au sens des art. 5 al. 3 et 9 Cst. S’agissant du grief susmentionné, la chambre administrative fait sienne l’argumentation de la chambre constitutionnelle, exposée dans son arrêt ACST/13/2015, portant sur la conformité de la loi au droit supérieur. En supprimant l’indemnité litigieuse à la recourante dès le mois d’août 2015, les HUG ont agi dans le respect de la loi 11’328, qui est entrée en vigueur certes rapidement mais sans violer le principe de la bonne foi ni celui de la proportionnalité, et ce en laissant quatre mois à l’intéressée avant de la mettre en œuvre.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aux HUG lorsqu’ils ont rendu la décision litigieuse, ce d’autant plus qu’ils ont attendu quatre mois avant de l’appliquer. Par conséquent, le recours sera rejeté sur ce point. 5)</w:t>
      </w:r>
    </w:p>
    <w:p>
      <w:r>
        <w:t>La recourante invoque une violation, par la loi 11’328, du principe de l’égalité de traitement, d’une part, entre les cadres supérieurs des HUG et les autres cadres supérieurs de l’État, et, d’autre part, au sein des HUG, entre les cadres médecins et les autres cadres. Elle considère également que la situation d’un médecin chef de service ou d’un médecin adjoint aux HUG n’est pas différente de sa propre situation au point de justifier une différence de traitement correspondant à la suppression de l’indemnité litigieuse.</w:t>
      </w:r>
    </w:p>
    <w:p>
      <w:r>
        <w:t>a. De jurisprudence constante, la chambre administrative est habilitée à revoir, à titre préjudiciel et à l’occasion de l’examen d’un cas concret, la conformité des normes de droit cantonal au droit fédéral (ATA/582/2015 du 9 juin 2015</w:t>
      </w:r>
    </w:p>
    <w:p>
      <w:r>
        <w:t>- 12/20 - A/3023/2015 consid. 5a et les arrêts cités ; Pierre MOOR/Alexandre FLÜCKIGER/Vincent MARTENET, op. cit., p. 345 ss n. 2.7.3). Cette compétence découle du principe de la primauté du droit fédéral sur le droit des cantons, ancré à l’art. 49 al.1 Cst.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(ATA/582/2015 précité ; Pierre MOOR/Alexandre FLÜCKIGER/Vincent MARTENET, op. cit., p. 352 ss n. 2.7.4.2).</w:t>
      </w:r>
    </w:p>
    <w:p>
      <w:r>
        <w:t>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w:t>
      </w:r>
    </w:p>
    <w:p>
      <w:r>
        <w:t>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w:t>
      </w:r>
    </w:p>
    <w:p>
      <w:r>
        <w:t>Le principe de l’égalité (art. 8 Cst.) et celui de l’interdiction de l’arbitraire (art. 9 Cst.) sont étroitement liés. Une norme ou une décision est arbitraire lorsqu’elle ne repose pas sur des motifs objectifs sérieux ou si elle est dépourvue</w:t>
      </w:r>
    </w:p>
    <w:p>
      <w:r>
        <w:t>- 13/20 - A/3023/2015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w:t>
      </w:r>
    </w:p>
    <w:p>
      <w:r>
        <w:t>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w:t>
      </w:r>
    </w:p>
    <w:p>
      <w:r>
        <w:t>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w:t>
      </w:r>
    </w:p>
    <w:p>
      <w:r>
        <w:t>- 14/20 - A/3023/2015</w:t>
      </w:r>
    </w:p>
    <w:p>
      <w:r>
        <w:t>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t>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w:t>
      </w:r>
    </w:p>
    <w:p>
      <w:r>
        <w:t>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(ATA/664/2010 du 28 septembre 2010 consid. 6 et les références citées).</w:t>
      </w:r>
    </w:p>
    <w:p>
      <w:r>
        <w:t>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w:t>
      </w:r>
    </w:p>
    <w:p>
      <w:r>
        <w:t>- 15/20 - A/3023/2015 (ATF 138 I 321 consid. 6 ; arrêt du Tribunal fédéral 8C_991/2010 du 28 juin 2011 consid. 5.5). Des différences de salaire, à l’intérieur des différentes catégories du corps enseignant suivantes, ont été reconnues comme soutenables par la jurisprudence fédérale : environ 31,6 % entre des remplaçants et des enseignants titularisés (ATF 129 I 161) ; une différence de l’ordre de 22 % entre les maîtres de l’école primaire et du cycle d’orientation (ATF 121 I 49)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w:t>
      </w:r>
    </w:p>
    <w:p>
      <w:r>
        <w:t>h. Dans le canton de Genève, la rémunération des membres du personnel de l’État de Genève, y compris du personnel des établissements publics médicaux tels que des HUG (art. 1 let. a LEPM),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 comprenaient, jusqu’à l’entrée en vigueur de la loi 11’328 le 28 mars 2015, l’indemnité litigieuse fixée dans l’ancien art. 23A LTrait et, depuis cette date, l’indemnité prévue à l’art. 23B LTrait.</w:t>
      </w:r>
    </w:p>
    <w:p>
      <w:r>
        <w:t>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w:t>
      </w:r>
    </w:p>
    <w:p>
      <w:r>
        <w:t>- 16/20 - A/3023/2015 l’exercice de la fonction (art. 4 al. 2 LTrait). L’autorité ou l’organe de nomination fixe la rémunération des membres du personnel dans un acte d’engagement ou de nomination, en application de l’échelle des traitements, du tableau de classement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 l’art. 2. L’art. 3 al. 2 LTrait précise qu’il ne peut prendre une telle décision que sous réserve de l’art. 96 Cst-GE. Cet article dispose : « Le Grand Conseil adopte le budget annuel, autorise les dépenses et approuve les comptes annuels. Il fixe les impôts. ».</w:t>
      </w:r>
    </w:p>
    <w:p>
      <w:r>
        <w:t>i. Selon l’art. 6 LTrait, l’autorité d’engagement et de nomination est le Conseil d’État, respectivement pour les établissements hospitaliers, la commission administrative de l’établissement. Les HUG sont un établissement public médical doté de la personnalité juridique (art. 1 let. a et art. 5 al. 1 LEPM). Ils sont placés sous la surveillance et le contrôle du Conseil d’État, et plus spécialement du département compétent (art. 5 al. 3 LEPM). Les budgets, les comptes rendus, les tarifs d’hospitalisation et ceux des soins et des prestations médico-ambulatoires, la nomination et la révocation des employés principaux, dont la liste est dressée par le Conseil d’État (art. 5 al. 5 LEPM), les règlements internes et le statut du personnel doivent être approuvés par le Conseil d’État (art. 5 al. 4 LEPM). Le conseil d’administration, pouvoir supérieur des HUG (art. 7 al. 1 LEPM), a notamment pour attribution d’adopter chaque année le budget d’exploitation et les états financiers qui seront approuvés par le Grand Conseil (art. 7 al. 2 let. f ch. 1 et 2 LEPM), ainsi que de nommer et révoquer les fonctionnaires des HUG (art. 7 al. 2 let. l LEPM).</w:t>
      </w:r>
    </w:p>
    <w:p>
      <w:r>
        <w:t>L’organisation des soins est réglée dans un règlement adopté par le conseil d’administration et approuvé par le Conseil d’État (art. 19 al. 1 LEPM). Les HUG sont organisés en services médicaux, regroupés en départements, et en services d’appui. Les départements médicaux correspondent, dans la règle, aux départements de la section clinique de la faculté de médecine (art. 19 al. 2 LEPM). Ils sont dirigés par des professeurs ordinaires de la faculté de médecine, nommés par le conseil d’administration. Dans la règle, les chefs des départements médicaux sont les responsables de départements de la faculté de médecine (art. 21A al. 1 LEPM). Les chefs des départements médicaux sont responsables de la bonne marche médicale, administrative et financière des services de leur département (art. 21A al. 3 phr. 1 LEPM). Quant aux médecins chefs de service, ils sont engagés par le conseil d’administration des HUG et le recteur de l’Université de Genève ; leur statut est réglé par un règlement spécifique sur la</w:t>
      </w:r>
    </w:p>
    <w:p>
      <w:r>
        <w:t>- 17/20 - A/3023/2015 collaboration hospitalo-universitaire et le statut du corps professoral (art. 21B al. 1 LEPM). À certaines conditions, le conseil d’administration des HUG peut exceptionnellement procéder seul à la nomination d’un chef de service hospitalier n’exerçant pas simultanément une fonction professorale (art. 21B al. 2 LEPM).</w:t>
      </w:r>
    </w:p>
    <w:p>
      <w:r>
        <w:t>j.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en particulier au sein des HUG entre les cadres médecins et les autres cadres. Cette distinction est cependant basée sur la qualification professionnelle des cadres fondée sur leur formation nécessaire à l’exercice de leur fonction. Il s’agit ainsi d’un critère objectif admis par la jurisprudence fédérale.</w:t>
      </w:r>
    </w:p>
    <w:p>
      <w:r>
        <w:t>Quant au caractère raisonnable de la distinction précitée entre les cadres dès la classe 27 exerçant des responsabilités hiérarchiques, il est certes discutable dans la mesure où l’État a le devoir d’assurer le niveau de toutes les prestations lui incombant de par la loi, quel que soit le secteur public concerné.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la recourante ne soutient pas que le travail d’un cadre médecin des HUG est similaire au sien. Elle admet l’existence d’une différence entre sa situation personnelle et celle d’un cadre médecin, mais estime injustifiée l’ampleur de la différence de traitement entre ces deux types de situation sans en étayer davantage les raisons. Conformément à la jurisprudence susmentionnée, cet argument ne peut être suivi vu la différence limitée à 8.3 % du salaire entre deux fonctions objectivement différentes.</w:t>
      </w:r>
    </w:p>
    <w:p>
      <w:r>
        <w:t>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sur demande des HUG s’agissant du</w:t>
      </w:r>
    </w:p>
    <w:p>
      <w:r>
        <w:t>- 18/20 - A/3023/2015 personnel de cet établissement, de fixer un traitement « hors classe » pour des fonctions exigeant des connaissances tout à fait spéciales ou comportant des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et notamment des cadres non médecins des HUG, doit ainsi être relativisée et replacée dans le contexte de la mission de service public incombant par essence à l’État, contrairement au secteur privé.</w:t>
      </w:r>
    </w:p>
    <w:p>
      <w:r>
        <w:t>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w:t>
      </w:r>
    </w:p>
    <w:p>
      <w:r>
        <w:t>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 grief tiré de l’inégalité de traitement contenu dans la loi doit être écarté. Le recours sera donc rejeté sur ce point.</w:t>
      </w:r>
    </w:p>
    <w:p>
      <w:r>
        <w:t>- 19/20 - A/3023/2015 6)</w:t>
      </w:r>
    </w:p>
    <w:p>
      <w:r>
        <w:t>Au vu de ce qui précède, le recours sera rejeté. Un émolument de CHF 1'500.- sera mis à la charge de la recourante qui succombe. Aucune indemnité de procédure ne sera allouée ni à cette dernière vu l’issue du litige, ni aux HUG disposant d’un service juridique et n’y ayant à juste titre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