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ATA/458/2018 vom 8. Mai 2018</w:t>
      </w:r>
    </w:p>
    <w:p>
      <w:r>
        <w:t>GE Cour de justice, 2018-05-08, FR</w:t>
      </w:r>
    </w:p>
    <w:p>
      <w:r>
        <w:rPr>
          <w:b/>
        </w:rPr>
        <w:t xml:space="preserve">Quelle: </w:t>
      </w:r>
      <w:r>
        <w:t>https://mcp.opencaselaw.ch/entscheid/ge_gerichte_ATA_458_2018</w:t>
      </w:r>
    </w:p>
    <w:p>
      <w:r>
        <w:t>FR: GE_GERICHTE ATA/458/2018 du 8 mai 2018</w:t>
      </w:r>
    </w:p>
    <w:p>
      <w:r>
        <w:t>IT: GE_GERICHTE ATA/458/2018 del 8 maggio 2018</w:t>
      </w:r>
    </w:p>
    <w:p>
      <w:pPr>
        <w:pStyle w:val="Heading2"/>
      </w:pPr>
      <w:r>
        <w:t>Regeste</w:t>
      </w:r>
    </w:p>
    <w:p>
      <w:r>
        <w:t>Résumé: L'intention du défunt de considérer comme des avancements d'hoirie les créances qu'il avait l'égard de son fils ressort clairement des termes de la convention conclue entre ceux-ci. La sentence arbitrale rendue ultérieurement ayant eu pour unique but de les chiffrer exactement, elle n'a aucune influence sur l'intention libérale du défunt, dont son fils avait parfaitement connaissance. Dès lors que les éléments constitutifs du contrat de donation étaient réalisés au moment de la conclusion de la convention, il convenait effectivement d'appliquer aux montants concernés le droit en vigueur à cette date-là pour déterminer les droits de succession applicables. Recours rejeté.</w:t>
      </w:r>
    </w:p>
    <w:p>
      <w:pPr>
        <w:pStyle w:val="Heading2"/>
      </w:pPr>
      <w:r>
        <w:t>Erwägungen</w:t>
      </w:r>
    </w:p>
    <w:p>
      <w:r>
        <w:rPr>
          <w:b/>
        </w:rPr>
        <w:t>E. 24</w:t>
      </w:r>
    </w:p>
    <w:p>
      <w:r>
        <w:t>juin 2009 ; Margareta BADDELEY, op. cit., n. 37 ad art. 239).</w:t>
      </w:r>
    </w:p>
    <w:p>
      <w:r>
        <w:t>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w:t>
      </w:r>
    </w:p>
    <w:p>
      <w:r>
        <w:t>c.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w:t>
      </w:r>
    </w:p>
    <w:p>
      <w:r>
        <w:t>Sur le plan fiscal, la commission cantonale de recours en matière d'impôts, remplacée depuis lors par le TAPI, a déjà eu l'occasion de confirmer qu'une créance dont disposait le contribuable à l'égard de sa mère, à la suite de la signature par celle-ci d'une promesse de donner, était imposable (DCRI/14/2007 du 22 janvier 2007 ; ATA/1351/2017 du 3 octobre 2017).</w:t>
      </w:r>
    </w:p>
    <w:p>
      <w:r>
        <w:t>Selon la pratique constante du Tribunal fédéral, on se trouve en présence d'une donation au sens du droit fiscal lorsqu'une prestation est effectuée gratuitement entre vifs avec l'intention de faire une libéralité (« animus donandi »). Il y a intention de donner lorsqu'un transfert patrimonial est effectué sans la volonté d'obtenir une contre-prestation (arrêt du Tribunal fédéral 2A/303/1994 du 23 décembre 1996 consid. 3c et les références citées). La mise à disposition de patrimoine, le caractère gratuit et la volonté de donner sont communes au droit civil et au droit fiscal ; l'aspect subjectif de la volonté de donner signifie que l'attribuant doit avoir conscience et volonté d'effectuer une prestation patrimoniale et du caractère gratuit de celle-ci (ATF 118 Ia 497 consid. 2aa). Les motifs pour lesquels les dons sont effectués (reconnaissance, générosité, devoir moral, etc.) n'exercent aucune influence sur l'assujettissement. La notion de donation peut être plus large en droit fiscal qu'en droit civil (ATF 118 Ia 497 consid. 2cc ; ATA/612/2016 du 12 juillet 2016 consid. 14 et les arrêts cités). 7)</w:t>
      </w:r>
    </w:p>
    <w:p>
      <w:r>
        <w:t>Pour déterminer le contenu d'un contrat, le juge doit rechercher, tout d'abord, la réelle et commune intention des parties selon l'interprétation dite subjective (art. 18 al. 1 CO) fondée notamment sur des éléments postérieurs au moment où le contrat a été conclu (ATF 133 III 61 consid. 2.2.1; 132 III 626 consid. 3.1; 129 III 675 consid. 2.3).</w:t>
      </w:r>
    </w:p>
    <w:p>
      <w:r>
        <w:t>S'il ne parvient pas à déterminer cette volonté réelle, le juge recherchera, en application du principe de la confiance, quel sens les parties pouvaient et devaient donner, selon les règles de la bonne foi, à leur manifestation de volonté réciproque</w:t>
      </w:r>
    </w:p>
    <w:p>
      <w:r>
        <w:t>- 12/15 - A/2012/2016 (ATF 127 III 444 consid. 1b). Sont déterminantes les circonstances qui ont précédé ou accompagné la conclusion du contrat (ATF 133 III 61 consid. 2.2.1; 131 III 606 consid. 4.1) à l'exclusion des évènements postérieurs (ATF 133 III 61 consid. 2.2.1). 8)</w:t>
      </w:r>
    </w:p>
    <w:p>
      <w:r>
        <w:t>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 LOCHER, op. cit., p. 308 ; ATF 107 Ib 376 consid. 3 et les références citées).</w:t>
      </w:r>
    </w:p>
    <w:p>
      <w:r>
        <w:t>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 9)</w:t>
      </w:r>
    </w:p>
    <w:p>
      <w:r>
        <w:t>En l’occurrence, malgré ses digressions, la recourante ne conteste pas que les montants en cause soient soumis à la LDS. Elle conteste en revanche le moment de la réalisation des éléments constitutifs du contrat de donation afin que les dispositions légales en vigueur depuis le 1er juin 2004 soient appliquées à son cas.</w:t>
      </w:r>
    </w:p>
    <w:p>
      <w:r>
        <w:t>Selon la convention du 19 novembre 2002, initiée par le souhait du défunt de « dans le cadre d'une planification successorale harmonieuse, faire le point sur ses relations » avec son fils, tout solde débiteur de ce dernier en sa faveur, résultant du décompte joint, serait considéré comme une avance d'hoirie. Il en allait de même du montant de CHF 340'000.- alors versé par le défunt à M. B______ pour régler ses dettes professionnelles, ainsi que de tout montant futur mis à la disposition de celui-ci. De ces termes clairs et précis, il ressort que si les versements en cause avaient essentiellement pour but de solder les dettes professionnelles de M. B______, il n'en demeure pas moins qu'ils l'ont été sans contrepartie, en raison d'une intention libérale de la part de feu M. A______.</w:t>
      </w:r>
    </w:p>
    <w:p>
      <w:r>
        <w:t>En outre, quand bien même des divergences existaient quant au montant dont M. B______ était débiteur à l'égard de son père, ceux-ci s'accordaient</w:t>
      </w:r>
    </w:p>
    <w:p>
      <w:r>
        <w:t>- 13/15 - A/2012/2016 néanmoins sur le fait qu'il s'avérait plus vraisemblable que le débiteur soit le premier, et non pas le second. Ainsi, lors de l'établissement de la convention précitée, feu M. A______ considérait bel et bien que M. B______ lui devait les sommes constatées ultérieurement par l'arbitre. À cette date-là, celles-ci avaient d'ailleurs déjà été versées depuis plusieurs mois à M. B______. Le principe même de les considérer comme des « avances d'hoirie » n'avait d'ailleurs pas été revu ni remis en question par cet arbitrage, dont la vocation à teneur de l'art. 4 était uniquement de vérifier et confirmer les éléments indiqués dans le décompte annexé à la convention du 19 novembre 2002.</w:t>
      </w:r>
    </w:p>
    <w:p>
      <w:r>
        <w:t>Le contenu de la sentence du 24 août 2004 ne venait donc que confirmer les dispositions de cet acte, déjà exécutées, dont le but était parfaitement connu du défunt, à savoir abandonner en faveur de son fils, à titre d'avancements d'hoirie, les sommes de CHF 2'090'000.- et CHF 12'802'715.-. Pour en avoir bénéficié au plus tard le 19 novembre 2002, M. B______ ne pouvait alors ignorer l'existence de ses libéralités, même s'il en contestait l'ampleur. Ainsi, la réelle et commune intention du père et du fils était de procéder à une donation à titre d'avancement d'hoirie.</w:t>
      </w:r>
    </w:p>
    <w:p>
      <w:r>
        <w:t>Cette volonté est encore confirmée par la mention, dans la déclaration de succession déposée le 29 juin 2015 sous la rubrique « donations et libéralités », selon laquelle le montant de CHF 14'893'000.- consistait en une « donation à titre d'avancement d'hoirie à M. B______, selon convention du 19 novembre 2002 ».</w:t>
      </w:r>
    </w:p>
    <w:p>
      <w:r>
        <w:t>Pour le surplus, aucune condition, suspensive ou résolutoire, n'avait été posée à la validité ou l'exécution de la convention du 19 novembre 2002.</w:t>
      </w:r>
    </w:p>
    <w:p>
      <w:r>
        <w:t>Il résulte de ce qui précède que les premiers juges ont retenu à juste titre que les éléments constitutifs de la donation étaient effectivement réalisés au moment de la signature de la convention du 19 novembre 2002, soit antérieurement au 1er juin 2004.</w:t>
      </w:r>
    </w:p>
    <w:p>
      <w:r>
        <w:t>Partant, l'intimée était fondée à percevoir les droits sur cette donation, conformément aux art. 16 et 17 aLDS alors en vigueur.</w:t>
      </w:r>
    </w:p>
    <w:p>
      <w:r>
        <w:t>Le recours sera rejeté. 10)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