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ATA/458/2012 vom 30. Juli 2012</w:t>
      </w:r>
    </w:p>
    <w:p>
      <w:r>
        <w:t>GE Cour de justice, 2012-07-30, FR</w:t>
      </w:r>
    </w:p>
    <w:p>
      <w:r>
        <w:rPr>
          <w:b/>
        </w:rPr>
        <w:t xml:space="preserve">Quelle: </w:t>
      </w:r>
      <w:r>
        <w:t>https://mcp.opencaselaw.ch/entscheid/ge_gerichte_ATA_458_2012</w:t>
      </w:r>
    </w:p>
    <w:p>
      <w:r>
        <w:t>FR: GE_GERICHTE ATA/458/2012 du 30 juillet 2012</w:t>
      </w:r>
    </w:p>
    <w:p>
      <w:r>
        <w:t>IT: GE_GERICHTE ATA/458/2012 del 30 luglio 2012</w:t>
      </w:r>
    </w:p>
    <w:p>
      <w:pPr>
        <w:pStyle w:val="Heading2"/>
      </w:pPr>
      <w:r>
        <w:t>Erwägungen</w:t>
      </w:r>
    </w:p>
    <w:p>
      <w:r>
        <w:rPr>
          <w:b/>
        </w:rPr>
        <w:t>E. 19</w:t>
      </w:r>
    </w:p>
    <w:p>
      <w:r>
        <w:t>octobre 2010 ; ATA/705/2010 du 12 octobre 2010 ; ATA/456/2009 du 15 septembre 2009 ; ATA/129/2006 du 7 mars 2006 et les réf. citées). 10.</w:t>
      </w:r>
    </w:p>
    <w:p>
      <w:r>
        <w:t>En l’espèce, l’appréciation juridique des faits à laquelle s’est livré le juge pénal est erronée, car il n’a pas suffisamment pris en considération le fait que la recourante a gravement compromis la sécurité de la route en heurtant – dans les circonstances décrites ci-dessus – une piétonne qui n’a fait preuve d’aucune imprudence et qui pouvait légitimement s’attendre à voir sa priorité respectée. En conséquence, la chambre de céans fera application de l’art. 16 al. 3 LCR qui entraîne le retrait obligatoire du permis de conduire.</w:t>
      </w:r>
    </w:p>
    <w:p>
      <w:r>
        <w:t>- 7/8 - A/3145/2010 11.</w:t>
      </w:r>
    </w:p>
    <w:p>
      <w:r>
        <w:t>Selon l’art. 16 al. 3 LCR, la durée du retrait de permis doit être fixée en fonction des circonstances, notamment en fonction de l’atteinte à la sécurité routière, la gravité de la faute, les antécédents en tant que conducteur ainsi que la nécessité professionnelle de conduire un véhicule automobile. Toutefois, la durée minimale du retrait - soit trois mois - doit être respectée. Le Tribunal fédéral a encore rappelé récemment qu’une telle règle s’imposait aux tribunaux sans dérogation possible, même pour tenir compte de besoins professionnels particuliers du conducteur (Arrêt du Tribunal fédéral 1C_585/2008 du 14 mai 2009, consid. 2.1 in fine et la jurisprudence citée).</w:t>
      </w:r>
    </w:p>
    <w:p>
      <w:r>
        <w:t>En l’espèce, la mesure prononcée par l’OCAN correspond au minimum légal prescrit par l’art. 16 al. 2 let. a LCR, ce qui ne permet pas d’en diminuer la durée, malgré l’absence d’antécédents de la recourante (ATA/716/2010 précité). 12.</w:t>
      </w:r>
    </w:p>
    <w:p>
      <w:r>
        <w:t>Au vu de ce qui précède, le recours sera rejeté. Un émolument de CHF 400.- sera mis à la charge de Mme H______, qui succombe. Il ne lui sera pas alloué d’indemnité de procédure (art. 87 LPA).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