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ATA/457/2018 vom 8. Mai 2018</w:t>
      </w:r>
    </w:p>
    <w:p>
      <w:r>
        <w:t>GE Cour de justice, 2018-05-08, FR</w:t>
      </w:r>
    </w:p>
    <w:p>
      <w:r>
        <w:rPr>
          <w:b/>
        </w:rPr>
        <w:t xml:space="preserve">Quelle: </w:t>
      </w:r>
      <w:r>
        <w:t>https://mcp.opencaselaw.ch/entscheid/ge_gerichte_ATA_457_2018</w:t>
      </w:r>
    </w:p>
    <w:p>
      <w:r>
        <w:t>FR: GE_GERICHTE ATA/457/2018 du 8 mai 2018</w:t>
      </w:r>
    </w:p>
    <w:p>
      <w:r>
        <w:t>IT: GE_GERICHTE ATA/457/2018 del 8 maggio 2018</w:t>
      </w:r>
    </w:p>
    <w:p>
      <w:pPr>
        <w:pStyle w:val="Heading2"/>
      </w:pPr>
      <w:r>
        <w:t>Regeste</w:t>
      </w:r>
    </w:p>
    <w:p>
      <w:r>
        <w:t>Résumé: confirmation d'une autorisation de démolition et d'une autorisation d'aménagement d'une surface de stockage en zone de développement industriel et artisanal. Les décisions fondées notamment sur le préavis favorables de la direction générale des transports s'agissant du trafic induit et du chemin de desserte de la parcelle ne prêtent pas le flanc à la critique.</w:t>
      </w:r>
    </w:p>
    <w:p>
      <w:pPr>
        <w:pStyle w:val="Heading2"/>
      </w:pPr>
      <w:r>
        <w:t>Erwägungen</w:t>
      </w:r>
    </w:p>
    <w:p>
      <w:r>
        <w:rPr>
          <w:b/>
        </w:rPr>
        <w:t>E. 12</w:t>
      </w:r>
    </w:p>
    <w:p>
      <w:r>
        <w:t>septembre 1985 - LPA - E 5 10). 2)</w:t>
      </w:r>
    </w:p>
    <w:p>
      <w:r>
        <w:t>Les recourants sollicitent un transport sur place.</w:t>
      </w:r>
    </w:p>
    <w:p>
      <w:r>
        <w:t>- 7/12 - A/4363/2016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et les arrêts cités), de participer à l’administration des preuves essentielles ou à tout le moins de s’exprimer sur son résultat, lorsque cela est de nature à influer sur la décision à rendre (2C_848/2016 du 26 septembre 2016 consid. 6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Le droit d'être entendu ne contient pas non plus d’obligation de discuter tous les griefs et moyens de preuve du recourant ; il suffit que le juge discute ceux qui sont pertinents pour l'issue du litige (ATF 138 I 232 consid. 5.1 ; arrêt du Tribunal fédéral 2C_983/2016 du 20 février 2017 consid. 2.2).</w:t>
      </w:r>
    </w:p>
    <w:p>
      <w:r>
        <w:t>En l’espèce, la chambre administrative renonce, par une appréciation anticipée des preuves, à procéder à la mesure d’instruction demandée par les recourants. Le dossier contient en effet tous les éléments pertinents et utiles pour statuer, notamment le préavis du service spécialisé en matière de trafic. 3)</w:t>
      </w:r>
    </w:p>
    <w:p>
      <w:r>
        <w:t>Les recourants demandent la suspension de la procédure dans l’attente de l’approbation définitive du PDZIA et du PSIA.</w:t>
      </w:r>
    </w:p>
    <w:p>
      <w:r>
        <w:t>La suspension d’une procédure administrative est prévue notamment en cas de requête simultanée de toutes les parties (art. 78 al. 1 let. a LPA), cas non réalisé en l’espèce. Il en va de même des autres motifs de suspension énumérés à l’art. 78 al. 1 let. b à f LPA.</w:t>
      </w:r>
    </w:p>
    <w:p>
      <w:r>
        <w:t>En outre, le motif de suspension qui découle de la solution d’une question de nature civile, pénale ou administrative relevant de la compétence d’une autre autorité et faisant l’objet d’une procédure pendante devant ladite autorité prévu par l’art. 14 al. 1 LPA, n’est pas non plus rempli en l’espèce. Les recourants n’ont pas fourni d’explications quant au lien entre le plan PSIA invoqué et les autorisations contestées. Bien plus, ce lien n’apparaît pas exister dans la mesure où on peine à comprendre en quoi l’adoption de ce plan aurait une incidence sur les autorisations délivrées.</w:t>
      </w:r>
    </w:p>
    <w:p>
      <w:r>
        <w:t>Quant au PZDIA, le rapport explicatif en vue de l’enquête publique a été rédigé sous l’égide conjointe de la FTI et du département (rapport explicatif, Zone de développement industriel et artisanal de Valavran, commune de Bellevue, 31 octobre 2016). C’est donc en toute connaissance de cause que la requérante a prévu un aménagement limité dans le temps de sa parcelle dans l’attente de</w:t>
      </w:r>
    </w:p>
    <w:p>
      <w:r>
        <w:t>- 8/12 - A/4363/2016 l’adoption de ce plan et de la valorisation de sa parcelle, ce qui apparaît déjà dans le courriel du 11 octobre 2016 de la FTI figurant dans le dossier du département.</w:t>
      </w:r>
    </w:p>
    <w:p>
      <w:r>
        <w:t>En conséquence, aucune suspension de la procédure ne sera prononcée. 4)</w:t>
      </w:r>
    </w:p>
    <w:p>
      <w:r>
        <w:t>Les recourants font valoir une erreur dans les décisions qui font mention de l’État de Genève en qualité de propriétaire de la parcelle concernée, ce qui devrait entraîner leur annulation.</w:t>
      </w:r>
    </w:p>
    <w:p>
      <w:r>
        <w:t>Toutes les demandes d’autorisation de construire doivent être datées et signées par le propriétaire de l’immeuble intéressé, ainsi que par le requérant ou l’éventuel mandataire professionnellement qualifié (art. 2 al. 2 de la loi sur les constructions et les installations diverses du 14 avril 1988 - LCI - L 5 05 ; art. 11 al. 4 du règlement d’application de la loi sur les constructions et les installations diverses du 27 février 1978 - RCI - L 5 05.01).</w:t>
      </w:r>
    </w:p>
    <w:p>
      <w:r>
        <w:t>En l’espèce, les demandes répondent à ces exigences mais les décisions publiées comportent une erreur quant au nom du propriétaire. L’erreur sur le nom du propriétaire qui figure dans les décisions publiées découle d’un extrait du registre foncier non mis à jour, annexé à la demande d’autorisation.</w:t>
      </w:r>
    </w:p>
    <w:p>
      <w:r>
        <w:t>Toutefois, l’identité du propriétaire au moment de la décision était reconnaissable puisqu’il s’agit d’une information publiquement disponible via le registre foncier ou le SITG et qu’elle figurait dans le dossier du département. En outre, les recourants n’ont subi aucun préjudice du fait de cette erreur de plume qui n’a eu aucun impact sur le cours de l’instruction et qui ne change rien au fond du litige, et cela ne les a aucunement empêchés d’exercer valablement leur droit de recours.</w:t>
      </w:r>
    </w:p>
    <w:p>
      <w:r>
        <w:t>En conséquence, l’erreur que comportent les autorisations ne saurait entraîner leur invalidation et le grief doit être écarté. 5)</w:t>
      </w:r>
    </w:p>
    <w:p>
      <w:r>
        <w:t>Dans une argumentation peu claire, les recourants semblent solliciter le déplacement de leurs habitations en zone villa. Ils réclament également un dédommagement et un tort moral au motif du développement de la zone industrielle et artisanale.</w:t>
      </w:r>
    </w:p>
    <w:p>
      <w:r>
        <w:t>La première conclusion, pour autant qu’on puisse la comprendre, correspond soit à une demande de changement de zone des parcelles concernées, soit à un échange de parcelles. Quant au dédommagement et tort moral, il serait relatif à la collocation en zone de développement industriel et artisanal de leurs parcelles, selon ce qui peut être compris des écritures des recourants.</w:t>
      </w:r>
    </w:p>
    <w:p>
      <w:r>
        <w:t>Quoiqu’il en soit, dans le cadre d’un recours déposé contre des autorisations de démolir et de construire délivrées à un tiers, ces conclusions s’avèrent exorbitantes au litige et il n’y a pas lieu d’examiner plus avant leur substance.</w:t>
      </w:r>
    </w:p>
    <w:p>
      <w:r>
        <w:t>- 9/12 - A/4363/2016 6)</w:t>
      </w:r>
    </w:p>
    <w:p>
      <w:r>
        <w:t>Les recourants font grief au département d’avoir autorisé la démolition d’une habitation et d’augmenter ainsi la pénurie de logements à Genève.</w:t>
      </w:r>
    </w:p>
    <w:p>
      <w:r>
        <w:t>La parcelle concernée se situant hors du champ d’application de la loi sur les démolitions, transformations et rénovations de maisons d’habitation (mesures de soutien en faveur des locataires et de l'emploi) du 25 janvier 1996 (LDTR - L 5 20) puisque la maison individuelle ne comporte qu’un seul logement (art. 2 al. 2 LDTR) et qu’aucune autorisation pour un projet de nouvelle construction d’habitation ne peut être délivrée dans la zone concernée, comme le font valoir les recourants eux-mêmes, le département ne pouvait subordonner la délivrance de l’autorisation de démolir à la présentation préalable d’un projet de nouvelle construction, comme le prévoit l’art. 15 al. 3 LCI.</w:t>
      </w:r>
    </w:p>
    <w:p>
      <w:r>
        <w:t>En outre, l’intimée a fait valoir lors du dépôt de la demande que le bâtiment était abandonné et insalubre. Ces éléments sont confirmés par le dossier photographique annexé à la demande de démolition qui atteste de l’état inhabité et de délabrement du bâtiment.</w:t>
      </w:r>
    </w:p>
    <w:p>
      <w:r>
        <w:t>En conséquence, s’agissant d’un grief infondé, il sera écarté. 7)</w:t>
      </w:r>
    </w:p>
    <w:p>
      <w:r>
        <w:t>Les recourants font grief au département d’avoir autorisé l’aménagement en zone de stockage de la parcelle de l’intimée alors que la voie d’accès n’était pas suffisante et que les nuisances routières augmenteraient.</w:t>
      </w:r>
    </w:p>
    <w:p>
      <w:r>
        <w:t>a. L’art. 19 al. 1 de la loi fédérale sur l’aménagement du territoire du 22 juin 1979 (LAT - RS 700) précise qu’un terrain est réputé équipé lorsqu'il est desservi d'une manière adaptée à l'utilisation prévue notamment par des voies d'accès.</w:t>
      </w:r>
    </w:p>
    <w:p>
      <w:r>
        <w:t>Au sens de cette disposition et de l’art. 22 al. 2 let. b LAT,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 du Tribunal fédéral 1C_430/2015 du 15 avril 2016 consid. 3.1 ; ATA/1274/2017 du 12 septembre 2017 consid. 7a ; ATA/588/2017 du 23 mai 2017 consid. 4b ; André JOMINI, Commentaire de la loi fédérale sur l’aménagement du territoire, 2010, n. 19 ad art. 19).</w:t>
      </w:r>
    </w:p>
    <w:p>
      <w:r>
        <w:t>b.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w:t>
      </w:r>
    </w:p>
    <w:p>
      <w:r>
        <w:t>- 10/12 - A/4363/2016 nuisibles ou incommodantes dans le voisinage (ATF 129 II 238 consid. 2 ; arrêt du Tribunal fédéral 1C_430/2015 du 15 avril 2016 consid. 3.1 ; André JOMINI, op. cit., n. 20 ad. art. 19). La loi n'impose toutefois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consid. 7.1).</w:t>
      </w:r>
    </w:p>
    <w:p>
      <w:r>
        <w:t>c. Le département peut refuser des autorisations de construire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peut créer, par sa nature, sa situation ou le trafic que provoque sa destination ou son exploitation, un danger ou une gêne durable pour la circulation (let. e ; art. 14 al. 1 LCI).</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(ATA/1515/2017 du 21 novembre 2017 et les références citées).</w:t>
      </w:r>
    </w:p>
    <w:p>
      <w:r>
        <w:t>d. Selon une jurisprudence bien établie, chaque fois que l'autorité inférieure suit les préavis requis – étant entendu qu’un préavis sans observation équivaut à un préavis favorable – la juridiction de recours doit s'imposer une certaine retenue, qui est en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(ATA/537/2017 du 9 mai 2017 et les références citées).</w:t>
      </w:r>
    </w:p>
    <w:p>
      <w:r>
        <w:t>En l’espèce, la demande d’autorisation concerne une parcelle sise dans une zone qui a vocation depuis 1993 à accueillir des activités industrielles et</w:t>
      </w:r>
    </w:p>
    <w:p>
      <w:r>
        <w:t>- 11/12 - A/4363/2016 artisanales. Un certain nombre de parcelles sont exploitées conformément au but de cette zone, notamment l’une des parcelles propriété du recourant sur laquelle est exploitée un garage automobile, les autres supportent des maisons d’habitation et/ou des activités correspondant à la zone de développement.</w:t>
      </w:r>
    </w:p>
    <w:p>
      <w:r>
        <w:t>Les recourants n’ont apporté aucun élément probant quant au fait que le chemin ne serait pas dimensionné pour accueillir l’activité de stockage provisoire ou que celle-ci créerait des difficultés de circulation constituant des inconvénients graves au sens de l’art. 14 LCI. Notamment, l’énumération des usagers du chemin faite par les recourants ne permet pas de retenir que la desserte n’est pas suffisante au sens développé ci-dessus.</w:t>
      </w:r>
    </w:p>
    <w:p>
      <w:r>
        <w:t>Les décisions du département sont notamment fondées sur le préavis favorable de la DGT s’agissant du trafic induit et du chemin de desserte. En outre, la FTI s’est engagée à prendre un certain nombre de mesures pour limiter les nuisances, notamment en limitant le poids des camions.</w:t>
      </w:r>
    </w:p>
    <w:p>
      <w:r>
        <w:t>En conséquence, la décision du département ne prête pas le flanc à la critique et les griefs seront écartés. 8)</w:t>
      </w:r>
    </w:p>
    <w:p>
      <w:r>
        <w:t>Infondé, le recours sera rejeté.</w:t>
      </w:r>
    </w:p>
    <w:p>
      <w:r>
        <w:t>Vu l’issue du litige, un émolument de CHF 1'000.- sera mis à la charges des recourants pris conjointement et solidairement (art. 87 al. 1 LPA). Une indemnité de procédure de CHF 1'000.- sera allouée à la FTI, à la charge des recourants, pris conjointement et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