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ATA/457/2012 vom 30. Juli 2012</w:t>
      </w:r>
    </w:p>
    <w:p>
      <w:r>
        <w:t>GE Cour de justice, 2012-07-30, FR</w:t>
      </w:r>
    </w:p>
    <w:p>
      <w:r>
        <w:rPr>
          <w:b/>
        </w:rPr>
        <w:t xml:space="preserve">Quelle: </w:t>
      </w:r>
      <w:r>
        <w:t>https://mcp.opencaselaw.ch/entscheid/ge_gerichte_ATA_457_2012</w:t>
      </w:r>
    </w:p>
    <w:p>
      <w:r>
        <w:t>FR: GE_GERICHTE ATA/457/2012 du 30 juillet 2012</w:t>
      </w:r>
    </w:p>
    <w:p>
      <w:r>
        <w:t>IT: GE_GERICHTE ATA/457/2012 del 30 luglio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- 4/8 - A/2318/2010</w:t>
      </w:r>
    </w:p>
    <w:p>
      <w:r>
        <w:rPr>
          <w:b/>
        </w:rPr>
        <w:t>E. 2</w:t>
      </w:r>
    </w:p>
    <w:p>
      <w:r>
        <w:t>La chambre de céans n’est pas compétente pour apprécier l’opportunité de la décision attaquée. En revanche, le recours peut être formé pour violation du droit, y compris l’excès ou l’abus du pouvoir d’appréciation, ou pour constatation inexacte ou incomplète des faits pertinents (art. 61 al. 1 et 2 LPA).</w:t>
      </w:r>
    </w:p>
    <w:p>
      <w:r>
        <w:rPr>
          <w:b/>
        </w:rPr>
        <w:t>E. 3</w:t>
      </w:r>
    </w:p>
    <w:p>
      <w:r>
        <w:t>a. Au 31 décembre 2010, l’art. 27 de la loi fédérale sur les étrangers (LEtr - RS 142.20) disposait que :</w:t>
      </w:r>
    </w:p>
    <w:p>
      <w:r>
        <w:t>« Un étranger peut être admis en vue d’une formation ou d’un perfectionnement aux quatre conditions cumulatives suivantes :</w:t>
      </w:r>
    </w:p>
    <w:p>
      <w:r>
        <w:t>a° la direction de l’établissement confirme qu’il peut suivre la formation ou le perfectionnement envisagé ;</w:t>
      </w:r>
    </w:p>
    <w:p>
      <w:r>
        <w:t>b° il dispose d’un logement approprié ;</w:t>
      </w:r>
    </w:p>
    <w:p>
      <w:r>
        <w:t>c° il dispose des moyens financiers nécessaires ;</w:t>
      </w:r>
    </w:p>
    <w:p>
      <w:r>
        <w:t>d° il paraît assuré qu’il quittera la Suisse ».</w:t>
      </w:r>
    </w:p>
    <w:p>
      <w:r>
        <w:t>L’art. 23 al. 1 de l’ordonnance relative à l’admission, au séjour et à l’exercice d’une activité lucrative (OASA - RS 142.201) prévoyait qu’un étranger devait être considéré comme présentant l’assurance qu’il quitterait la Suisse à l’issue de son séjour au sens de l’art. 27 al. 1 let. d. aLEtr, lorsqu’il déposait une déclaration d’engagement allant dans ce sens (let. a), qu’aucun séjour ou procédure de demande antérieure, ou aucun autre élément n’indiquait que la personne concernée entendait demeurer durablement en Suisse (let. b), lorsque le programme de formation était respecté (let. c).</w:t>
      </w:r>
    </w:p>
    <w:p>
      <w:r>
        <w:t>b. Depuis le 1er janvier 2011, à la suite de l’entrée en vigueur de la loi fédérale du 18 juin 2010 destinée à faciliter l’admission des étrangers diplômés d’une haute école suisse (RO 2010 5957 ; FF 2010 373, notamment p. 391), la condition de l’art. 27 al. 1 let. d aLEtr a été supprimée et remplacée par un nouvel art. 27 al. 1 let. d LEtr dont la teneur est la suivante :</w:t>
      </w:r>
    </w:p>
    <w:p>
      <w:r>
        <w:t>« l’étranger a le niveau de formation et les qualifications personnelles requis pour suivre la formation ou le perfectionnement prévu ».</w:t>
      </w:r>
    </w:p>
    <w:p>
      <w:r>
        <w:t>A teneur de l’art. 23 al. 2 OASA, les qualifications personnelles sont suffisantes au sens de l’art. 27 al. 1 let. d LEtr, « notamment lorsqu’aucun séjour antérieur, aucune procédure de demande antérieure ni aucun autre élément n’indique que la formation ou le perfectionnement invoqué visent uniquement à éluder les prescriptions générales sur l’admission et le séjour des étrangers ».</w:t>
      </w:r>
    </w:p>
    <w:p>
      <w:r>
        <w:t>Ce dernier texte résulte de la volonté du législateur de permettre à des étudiants ayant obtenu un diplôme délivré par une haute école suisse de pouvoir</w:t>
      </w:r>
    </w:p>
    <w:p>
      <w:r>
        <w:t>- 5/8 - A/2318/2010 continuer à travailler en Suisse, ce qu’autorise l’art. 21 al. 3 LEtr. Si la garantie de sortie de Suisse n’est plus demandée pour cette catégorie d’étrangers, tel n’est pas le cas de ceux qui viennent étudier en Suisse, dans un autre établissement qu’une haute école suisse, qui restent soumis à la règle générale de l’art. 5 al. 2 LEtr selon laquelle tout étranger séjournant temporairement en Suisse doit apporter la garantie qu’il quittera ce pays à l’issue de ses études (ATA/612/2011 du 27 septembre 2011 et ATA/546/2011 du 30 août 2011).</w:t>
      </w:r>
    </w:p>
    <w:p>
      <w:r>
        <w:t>c. A teneur de l’art. 126 al. 1 LEtr, les demandes déposées avant l’entrée en vigueur de celle-ci sont régies par l’ancien droit. Cette disposition transitoire visait à déterminer le droit applicable aux demandes déposées avant le 1er janvier 2008, date à laquelle la LEtr a remplacé la loi fédérale du 26 mars 1931 sur le séjour et l’établissement des étrangers (aLSEE - RS 142.20). Elle n’a pas pour fonction de trancher la question du droit applicable lors de chaque nouveau changement de la LEtr. Pour ces situations, il y a lieu d’appliquer la jurisprudence constante lorsqu’il s’agit de régler un régime juridique futur, ou de régler une situation durable. Selon celle-ci, la nouvelle législation est applicable aux affaires pendantes. En l’absence de dispositions légales, l’autorité de recours applique les normes en vigueur au jour où elle statue (ATF 99 Ia 113 ; P. MOOR, Droit administratif, vol. 1, 2ème éd., 1994, n° 2524, p. 175). C’est donc à la lumière du droit entré en vigueur le 1er janvier 2011 que la présente cause sera examinée, et cela contrairement à ce qu’a fait le TAPI en appliquant l’art. 27 LEtr dans une teneur antérieure. L’OCP, pour sa part, ne s’y est pas trompé, sa réponse visant l’art. 27 LEtr dans sa teneur en vigueur depuis le 1er janvier 2011 (ATA/395/2011 du 21 juin 2011).</w:t>
      </w:r>
    </w:p>
    <w:p>
      <w:r>
        <w:t>L’art. 27 al. 1 LEtr n’accorde pas de droit à la délivrance d’un permis d’étudiant. A teneur de son texte, l’autorité cantonale compétente peut délivrer un tel permis. Elle dispose de ce fait d’un large pouvoir d’appréciation, l’étranger ne bénéficiant pas d’un droit de séjour en Suisse fondé sur l’art. 27 LEtr (Arrêts du Tribunal fédéral 2C_802/2010 du 22 octobre 2010 ; 2D_14/2010 du 28 juin 2010 ; ATA/417/2011 précité ; ATA/395/2011 précité ; ATA/354/2011 du 31 mai 2011).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w:t>
      </w:r>
    </w:p>
    <w:p>
      <w:r>
        <w:rPr>
          <w:b/>
        </w:rPr>
        <w:t>E. 4</w:t>
      </w:r>
    </w:p>
    <w:p>
      <w:r>
        <w:t>A teneur de l’art. 64 al. 1 let. c LEtr, qui a remplacé l’art. 66 al. 1 let. c LEtr depuis le 1er janvier 2011 mais qui est de même portée, les autorités compétentes rendent une décision de renvoi ordinaire à l’encontre d’un étranger auquel l’autorisation est refusée.</w:t>
      </w:r>
    </w:p>
    <w:p>
      <w:r>
        <w:t>- 6/8 - A/2318/2010</w:t>
      </w:r>
    </w:p>
    <w:p>
      <w:r>
        <w:rPr>
          <w:b/>
        </w:rPr>
        <w:t>E. 5</w:t>
      </w:r>
    </w:p>
    <w:p>
      <w:r>
        <w:t>En l’espèce, le recourant – qui s’était vu refuser un visa pour études en 2007 – est arrivé en Suisse au mois d’avril 2010, en étant au bénéfice d’un visa « Schengen » de courte durée. Au motif qu’il souhaitait acquérir des compétences en informatique, M. Q______ a alors sollicité une autorisation de séjour pour s’inscrire à Y______, cet établissement n’étant pas une haute école au sens de la LEtr.</w:t>
      </w:r>
    </w:p>
    <w:p>
      <w:r>
        <w:t>Les moyens financiers dont il indique disposer ne sont pas suffisants pour assurer ses frais d’écolage et d’entretien pendant l’ensemble de la formation.</w:t>
      </w:r>
    </w:p>
    <w:p>
      <w:r>
        <w:t>Des plus, les circonstances dans lesquelles M. Q______ est arrivé en Suisse, et le fait qu’une première demande d’autorisation de séjour ait été refusée, ne permettent pas d’admettre que le départ de Suisse de M. Q______ soit assuré au terme de la formation envisagée.</w:t>
      </w:r>
    </w:p>
    <w:p>
      <w:r>
        <w:t>Dans ces circonstances, l’OCP était en droit, sans mésuser de son pouvoir d’appréciation, de considérer, le 16 juin 2010, sous l’angle des art. 27 al. 1 let. a LEtr et 23 al. 2 let. a OASA, que les conditions nécessaires à la délivrance d’une autorisation de séjour pour études n’étaient pas remplies. Une telle appréciation reste valable au regard des art. 5 al. 2 et 27 al. 1 LEtr, de même que de l’art. 23 al. 2 OASA, dès lors qu’il ne peut être exclu que le recourant cherche à éluder les prescriptions générales sur l’admission et le séjour des étrangers.</w:t>
      </w:r>
    </w:p>
    <w:p>
      <w:r>
        <w:rPr>
          <w:b/>
        </w:rPr>
        <w:t>E. 6</w:t>
      </w:r>
    </w:p>
    <w:p>
      <w:r>
        <w:t>Le recours sera rejeté. Un émolument de CHF 400.- sera mis à la charge du recourant, qui succombe.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