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ATA/453/2012 vom 30. Juli 2012</w:t>
      </w:r>
    </w:p>
    <w:p>
      <w:r>
        <w:t>GE Cour de justice, 2012-07-30, FR</w:t>
      </w:r>
    </w:p>
    <w:p>
      <w:r>
        <w:rPr>
          <w:b/>
        </w:rPr>
        <w:t xml:space="preserve">Quelle: </w:t>
      </w:r>
      <w:r>
        <w:t>https://mcp.opencaselaw.ch/entscheid/ge_gerichte_ATA_453_2012</w:t>
      </w:r>
    </w:p>
    <w:p>
      <w:r>
        <w:t>FR: GE_GERICHTE ATA/453/2012 du 30 juillet 2012</w:t>
      </w:r>
    </w:p>
    <w:p>
      <w:r>
        <w:t>IT: GE_GERICHTE ATA/453/2012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w:t>
      </w:r>
    </w:p>
    <w:p>
      <w:r>
        <w:t>- 4/8 - A/4571/2010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rPr>
          <w:b/>
        </w:rPr>
        <w:t>E. 4</w:t>
      </w:r>
    </w:p>
    <w:p>
      <w:r>
        <w:t>Le TAPI se fonde sur l’ATF 135 II 274 et l’Arrêt du Tribunal fédéral 2C_601/2010 du 21 décembre 2010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tant au regard du titre marginal de l'art. 138 LIFD (« paiement complémentaire et restitution d'impôt »), que par</w:t>
      </w:r>
    </w:p>
    <w:p>
      <w:r>
        <w:t>- 5/8 - A/4571/2010 rapport à l'art. 16 de l'ordonnance sur l'imposition à la source du 19 octobre 1993 (OIS - RS 642.118.2).</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faire en sorte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 perçu est lié à une déduction supplémentaire connue du contribuable et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rPr>
          <w:b/>
        </w:rPr>
        <w:t>E. 6</w:t>
      </w:r>
    </w:p>
    <w:p>
      <w:r>
        <w:t>Le contribuable a déposé sa réclamation le 1er avril 2010 en sollicitant la déduction de montants versés durant l’année 2009.</w:t>
      </w:r>
    </w:p>
    <w:p>
      <w:r>
        <w:t>Il résulte des déclarations de l’intéressé qu'il a admis que sa demande de rectification d'imposition était tardive, car faite un jour après la fin du délai fixé au 31 mars 2010 (art. 137 LIFD) parce que le service de comptabilité de son entreprise l'avait expédiée après cette date. Or,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w:t>
      </w:r>
    </w:p>
    <w:p>
      <w:r>
        <w:t>- 6/8 - A/4571/2010 qui n’agit pas dans le délai prescrit est forclos et la décision en cause acquiert force obligatoire (ATA/779/2011 du 20 décembre 2011 ; ATA/547/2011 du 30 août 2011 ; ATA/712/2010 du 19 octobre 2010 et les références citées).</w:t>
      </w:r>
    </w:p>
    <w:p>
      <w:r>
        <w:t>Le recourant seul était en possession des documents attestant de ses versements au titre de pension alimentaire et en mesure de transmettre ces documents en temps utile. En revanche, l’AFC, ne pouvait connaître l’existence de ces versements du contribuable qui justifierait une diminution de l’impôt à la source. L'employeur n'était pas non plus en situation légale de les connaître pour en tenir compte dans le cadre du calcul des retenues à opérer. Le fait que le contribuable prétende avoir chargé le service de comptabilité de l'entreprise d'expédier la demande de rectification ne change rien à la nature de cette déduction supplémentaire.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 A. BERTHOUD, Réclamations en matière d'impôt à la source - A la recherche du délai perdu, RF 66/2011 p. 410).</w:t>
      </w:r>
    </w:p>
    <w:p>
      <w:r>
        <w:t>Toute autre solution serait contraire à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déposée par l’intéressé était tardive.</w:t>
      </w:r>
    </w:p>
    <w:p>
      <w:r>
        <w:rPr>
          <w:b/>
        </w:rPr>
        <w:t>E. 7</w:t>
      </w:r>
    </w:p>
    <w:p>
      <w:r>
        <w:t>Il convient dès lors d'examiner si un cas de force majeure permet au contribuable de justifier l'inobservation du délai.</w:t>
      </w:r>
    </w:p>
    <w:p>
      <w:r>
        <w:t>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w:t>
      </w:r>
    </w:p>
    <w:p>
      <w:r>
        <w:t>- 7/8 - A/4571/2010 de dispositions que l'on ne peut raisonnablement attendre de la part d'un homme d'affaires avisé (ATA/38/2011 du 25 janvier 2011 ; D. YERSIN/Y. NOËL, Commentaire de la loi sur l'impôt fédéral direct, Bâle 2007, ad art. 133, n. 14 et 15, p. 1283).</w:t>
      </w:r>
    </w:p>
    <w:p>
      <w:r>
        <w:t>Pour établir l'existence d'un cas de force majeure, le fardeau de la preuve incombe à l'assujetti (ATA/50/2009 du 28 janvier 2009 et les réf. citées ; M. DUSS, op. cit., p. 102). La maladie n'est admise comme motif d'excuse que si elle empêche le contribuable d'agir par lui-même ou de donner à un tiers les instructions nécessaires pour agir à sa place (ATA/587/2009 du 10 novembre 2009 ; ATA/532/2000 du 29 août 2000 ; H. MASSHARDT/GENDRE, Commentaire IDN, 1980, p. 418 ; M. DUSS, Verfahrensrecht in Steuersachen, Winterthur 1987, p. 102).</w:t>
      </w:r>
    </w:p>
    <w:p>
      <w:r>
        <w:t>Le contribuable allègue sans fournir de justificatif qu'il aurait chargé le service de comptabilité de son entreprise de faire la demande de rectification d'imposition. A supposer que tel soit le cas, il n'invoque aucun élément permettant d'excuser le retard du service comptable de son employeur, qui lui est opposable au même titre que celui de tout mandataire (ATF 114 III 181 consid. 2, p. 182 ; ATA/172/2010 du 16 mars 2010 et les arrêts cités), étant précisé qu'il lui appartenait en tout état, dans le cadre de son devoir de diligence susmentionné, de s'assurer que sa demande serait expédiée le 31 mars 2010 au plus tard.</w:t>
      </w:r>
    </w:p>
    <w:p>
      <w:r>
        <w:rPr>
          <w:b/>
        </w:rPr>
        <w:t>E. 8</w:t>
      </w:r>
    </w:p>
    <w:p>
      <w:r>
        <w:t>Au vu de ce qui précède, le recours de l'AFC sera admis, le jugement du TAPI annulé et la décision sur réclamation prise par l’AFC le 23 novembre 2010 rétablie. Un émolument de CHF 500.- sera mis à la charge de l’intimé,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